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F101B" w14:textId="6AE895CC" w:rsidR="0025409E" w:rsidRDefault="009F2D48" w:rsidP="00121E33">
      <w:pPr>
        <w:pStyle w:val="NormalnyWeb"/>
        <w:rPr>
          <w:rStyle w:val="Nagwek1Znak"/>
          <w:rFonts w:ascii="Aptos CE" w:hAnsi="Aptos CE"/>
          <w:sz w:val="20"/>
          <w:szCs w:val="20"/>
        </w:rPr>
      </w:pPr>
      <w:r w:rsidRPr="00121E33">
        <w:rPr>
          <w:rStyle w:val="Nagwek1Znak"/>
          <w:rFonts w:ascii="Aptos CE" w:hAnsi="Aptos CE"/>
          <w:sz w:val="20"/>
          <w:szCs w:val="20"/>
        </w:rPr>
        <w:t xml:space="preserve">Zadanie </w:t>
      </w:r>
      <w:r w:rsidR="00CD5345">
        <w:rPr>
          <w:rStyle w:val="Nagwek1Znak"/>
          <w:rFonts w:ascii="Aptos CE" w:hAnsi="Aptos CE"/>
          <w:sz w:val="20"/>
          <w:szCs w:val="20"/>
        </w:rPr>
        <w:t xml:space="preserve">nr </w:t>
      </w:r>
      <w:r w:rsidR="00CF26BD">
        <w:rPr>
          <w:rStyle w:val="Nagwek1Znak"/>
          <w:rFonts w:ascii="Aptos CE" w:hAnsi="Aptos CE"/>
          <w:sz w:val="20"/>
          <w:szCs w:val="20"/>
        </w:rPr>
        <w:t>6</w:t>
      </w:r>
      <w:r w:rsidRPr="00121E33">
        <w:rPr>
          <w:rStyle w:val="Nagwek1Znak"/>
          <w:rFonts w:ascii="Aptos CE" w:hAnsi="Aptos CE"/>
          <w:sz w:val="20"/>
          <w:szCs w:val="20"/>
        </w:rPr>
        <w:t xml:space="preserve">: </w:t>
      </w:r>
      <w:r w:rsidR="006C735C">
        <w:rPr>
          <w:rStyle w:val="Nagwek1Znak"/>
          <w:rFonts w:ascii="Aptos CE" w:hAnsi="Aptos CE"/>
          <w:sz w:val="20"/>
          <w:szCs w:val="20"/>
        </w:rPr>
        <w:t>Dostawa systemu PACS wraz z instalacją i wdrożeniem oraz integracją z systemem PUI.</w:t>
      </w:r>
    </w:p>
    <w:p w14:paraId="15BBB4EC" w14:textId="0D2FE0C8" w:rsidR="009F2D48" w:rsidRPr="0025409E" w:rsidRDefault="009F2D48" w:rsidP="0025409E">
      <w:pPr>
        <w:pStyle w:val="NormalnyWeb"/>
        <w:jc w:val="both"/>
        <w:rPr>
          <w:rFonts w:ascii="Aptos CE" w:hAnsi="Aptos CE"/>
          <w:color w:val="0F4761"/>
          <w:sz w:val="20"/>
          <w:szCs w:val="20"/>
        </w:rPr>
      </w:pPr>
      <w:r w:rsidRPr="00121E33">
        <w:rPr>
          <w:rFonts w:ascii="Aptos CE" w:hAnsi="Aptos CE"/>
          <w:sz w:val="20"/>
          <w:szCs w:val="20"/>
        </w:rPr>
        <w:br/>
      </w:r>
      <w:r>
        <w:rPr>
          <w:rFonts w:ascii="Aptos CE" w:hAnsi="Aptos CE"/>
          <w:sz w:val="20"/>
          <w:szCs w:val="20"/>
        </w:rPr>
        <w:t>W</w:t>
      </w:r>
      <w:r w:rsidRPr="00121E33">
        <w:rPr>
          <w:rFonts w:ascii="Aptos CE" w:hAnsi="Aptos CE"/>
          <w:sz w:val="20"/>
          <w:szCs w:val="20"/>
        </w:rPr>
        <w:t>drożenie systemu PACS (Picture Archiving and Communication System) w zakresie instalacji, konfiguracji i integracji z istniejącymi systemami medycznymi, a także dostarczenie całej infrastruktury niezbędnej do prawidłowego funkcjonowania systemu, w tym serwerów, pamięci masowej, urządzeń sieciowych oraz oprogramowania wspierającego. W ramach zadania wykonawca zapewni pełną gotowość operacyjną systemu, migrację danych i przeszkolenie personelu oraz wsparcie w fazie uruchomienia.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0"/>
        <w:gridCol w:w="5154"/>
        <w:gridCol w:w="1418"/>
        <w:gridCol w:w="1842"/>
      </w:tblGrid>
      <w:tr w:rsidR="009F2D48" w:rsidRPr="00A438A6" w14:paraId="16F12C71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D1885F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54" w:type="dxa"/>
            <w:noWrap/>
            <w:vAlign w:val="bottom"/>
          </w:tcPr>
          <w:p w14:paraId="10D94D53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>SYSTEM PACS - INFRASTRUKTURA SPRZĘTOWA</w:t>
            </w:r>
          </w:p>
        </w:tc>
        <w:tc>
          <w:tcPr>
            <w:tcW w:w="1418" w:type="dxa"/>
            <w:noWrap/>
            <w:vAlign w:val="bottom"/>
          </w:tcPr>
          <w:p w14:paraId="7B7819C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Parametr wymagany</w:t>
            </w:r>
          </w:p>
        </w:tc>
        <w:tc>
          <w:tcPr>
            <w:tcW w:w="1842" w:type="dxa"/>
          </w:tcPr>
          <w:p w14:paraId="4981E31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sz w:val="20"/>
                <w:szCs w:val="20"/>
              </w:rPr>
              <w:t>Parametry oferowane (tak, po</w:t>
            </w:r>
            <w:r w:rsidRPr="00A438A6">
              <w:rPr>
                <w:rFonts w:ascii="Aptos CE" w:hAnsi="Aptos CE"/>
                <w:sz w:val="20"/>
                <w:szCs w:val="20"/>
              </w:rPr>
              <w:t>dać, opisać)</w:t>
            </w:r>
          </w:p>
        </w:tc>
      </w:tr>
      <w:tr w:rsidR="009F2D48" w:rsidRPr="00A438A6" w14:paraId="00CC8A9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3D42AB0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</w:t>
            </w:r>
          </w:p>
        </w:tc>
        <w:tc>
          <w:tcPr>
            <w:tcW w:w="5154" w:type="dxa"/>
            <w:noWrap/>
            <w:vAlign w:val="bottom"/>
          </w:tcPr>
          <w:p w14:paraId="41A87D1E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SERWER - 3 sztuki</w:t>
            </w:r>
          </w:p>
        </w:tc>
        <w:tc>
          <w:tcPr>
            <w:tcW w:w="1418" w:type="dxa"/>
            <w:noWrap/>
            <w:vAlign w:val="bottom"/>
          </w:tcPr>
          <w:p w14:paraId="77D4C39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38611E1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EB3B408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1EE613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1.1.</w:t>
            </w:r>
          </w:p>
        </w:tc>
        <w:tc>
          <w:tcPr>
            <w:tcW w:w="5154" w:type="dxa"/>
            <w:noWrap/>
            <w:vAlign w:val="bottom"/>
          </w:tcPr>
          <w:p w14:paraId="7114F71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Producent </w:t>
            </w:r>
          </w:p>
        </w:tc>
        <w:tc>
          <w:tcPr>
            <w:tcW w:w="1418" w:type="dxa"/>
            <w:noWrap/>
            <w:vAlign w:val="bottom"/>
          </w:tcPr>
          <w:p w14:paraId="4C59014E" w14:textId="11231219" w:rsidR="009F2D48" w:rsidRPr="00A438A6" w:rsidRDefault="00160919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0D93EB3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B2CC3E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F0E9E4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1.2.</w:t>
            </w:r>
          </w:p>
        </w:tc>
        <w:tc>
          <w:tcPr>
            <w:tcW w:w="5154" w:type="dxa"/>
            <w:noWrap/>
            <w:vAlign w:val="bottom"/>
          </w:tcPr>
          <w:p w14:paraId="7EDBD28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Nazwa i typ urządzenia</w:t>
            </w:r>
          </w:p>
        </w:tc>
        <w:tc>
          <w:tcPr>
            <w:tcW w:w="1418" w:type="dxa"/>
            <w:noWrap/>
            <w:vAlign w:val="bottom"/>
          </w:tcPr>
          <w:p w14:paraId="5227733B" w14:textId="0979FDA6" w:rsidR="009F2D48" w:rsidRPr="00A438A6" w:rsidRDefault="00160919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4E7C8CA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21DD119" w14:textId="77777777" w:rsidTr="00183676">
        <w:trPr>
          <w:trHeight w:val="1575"/>
        </w:trPr>
        <w:tc>
          <w:tcPr>
            <w:tcW w:w="1220" w:type="dxa"/>
            <w:noWrap/>
            <w:vAlign w:val="bottom"/>
          </w:tcPr>
          <w:p w14:paraId="1F652C1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1.3.</w:t>
            </w:r>
          </w:p>
        </w:tc>
        <w:tc>
          <w:tcPr>
            <w:tcW w:w="5154" w:type="dxa"/>
            <w:vAlign w:val="bottom"/>
          </w:tcPr>
          <w:p w14:paraId="07597C2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Procesory - co najmniej dwa procesory dedykowane od zastosowań serwerowych, o parametrach nie gorszych niż: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częstotliwość bazowa 2.4GHz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liczba rdzeni/wątków - 12/24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pamięć cache - 30MB</w:t>
            </w:r>
          </w:p>
        </w:tc>
        <w:tc>
          <w:tcPr>
            <w:tcW w:w="1418" w:type="dxa"/>
            <w:noWrap/>
            <w:vAlign w:val="bottom"/>
          </w:tcPr>
          <w:p w14:paraId="0EFB7E37" w14:textId="386C068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6125CC5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B6B4A25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CEB603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1.4.</w:t>
            </w:r>
          </w:p>
        </w:tc>
        <w:tc>
          <w:tcPr>
            <w:tcW w:w="5154" w:type="dxa"/>
            <w:noWrap/>
            <w:vAlign w:val="bottom"/>
          </w:tcPr>
          <w:p w14:paraId="7CD7A17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Pamięć RAM - co najmniej 192GB RDIMM 5600MT/s</w:t>
            </w:r>
          </w:p>
        </w:tc>
        <w:tc>
          <w:tcPr>
            <w:tcW w:w="1418" w:type="dxa"/>
            <w:noWrap/>
            <w:vAlign w:val="bottom"/>
          </w:tcPr>
          <w:p w14:paraId="7759F72B" w14:textId="23429D9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516C1B9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52F784F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E08429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1.5.</w:t>
            </w:r>
          </w:p>
        </w:tc>
        <w:tc>
          <w:tcPr>
            <w:tcW w:w="5154" w:type="dxa"/>
            <w:noWrap/>
            <w:vAlign w:val="bottom"/>
          </w:tcPr>
          <w:p w14:paraId="3DEE4EFA" w14:textId="1F6924C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Wewnętrzne dyski twarde - co najmniej 2 x </w:t>
            </w:r>
            <w:r w:rsidR="004F4524">
              <w:rPr>
                <w:rFonts w:ascii="Aptos CE" w:hAnsi="Aptos CE" w:cs="Calibri"/>
                <w:sz w:val="20"/>
                <w:szCs w:val="20"/>
                <w:lang w:eastAsia="pl-PL"/>
              </w:rPr>
              <w:t>480</w:t>
            </w:r>
            <w:r w:rsidR="004F4524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GB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SSD RAID 1</w:t>
            </w:r>
          </w:p>
        </w:tc>
        <w:tc>
          <w:tcPr>
            <w:tcW w:w="1418" w:type="dxa"/>
            <w:noWrap/>
            <w:vAlign w:val="bottom"/>
          </w:tcPr>
          <w:p w14:paraId="7A589D4A" w14:textId="4DA4871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3497233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5E2D3CA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9273B6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1.6.</w:t>
            </w:r>
          </w:p>
        </w:tc>
        <w:tc>
          <w:tcPr>
            <w:tcW w:w="5154" w:type="dxa"/>
            <w:noWrap/>
            <w:vAlign w:val="bottom"/>
          </w:tcPr>
          <w:p w14:paraId="611F9E6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Interfejs sieciowy - co najmniej jedna podwójna karta sieciowa Gigabit ET 2 x 10/25Gb Ethernet SFP28</w:t>
            </w:r>
          </w:p>
        </w:tc>
        <w:tc>
          <w:tcPr>
            <w:tcW w:w="1418" w:type="dxa"/>
            <w:noWrap/>
            <w:vAlign w:val="bottom"/>
          </w:tcPr>
          <w:p w14:paraId="150E005D" w14:textId="3BDE6F84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5530A2C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58BE8DC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9E3B82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1.7.</w:t>
            </w:r>
          </w:p>
        </w:tc>
        <w:tc>
          <w:tcPr>
            <w:tcW w:w="5154" w:type="dxa"/>
            <w:noWrap/>
            <w:vAlign w:val="bottom"/>
          </w:tcPr>
          <w:p w14:paraId="201BE2B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Intefrejs FC - co najmniej jedna karta FC HBA 2 x FC32</w:t>
            </w:r>
          </w:p>
        </w:tc>
        <w:tc>
          <w:tcPr>
            <w:tcW w:w="1418" w:type="dxa"/>
            <w:noWrap/>
            <w:vAlign w:val="bottom"/>
          </w:tcPr>
          <w:p w14:paraId="68D4812E" w14:textId="5F68FAB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Tak.</w:t>
            </w:r>
          </w:p>
        </w:tc>
        <w:tc>
          <w:tcPr>
            <w:tcW w:w="1842" w:type="dxa"/>
          </w:tcPr>
          <w:p w14:paraId="3B6CBC9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9173705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371315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1.8.</w:t>
            </w:r>
          </w:p>
        </w:tc>
        <w:tc>
          <w:tcPr>
            <w:tcW w:w="5154" w:type="dxa"/>
            <w:noWrap/>
            <w:vAlign w:val="bottom"/>
          </w:tcPr>
          <w:p w14:paraId="587F96C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Zintegrowany kontroler zdalnego dostępu wraz z licencją Enterprise lub równoważną</w:t>
            </w:r>
          </w:p>
        </w:tc>
        <w:tc>
          <w:tcPr>
            <w:tcW w:w="1418" w:type="dxa"/>
            <w:noWrap/>
            <w:vAlign w:val="bottom"/>
          </w:tcPr>
          <w:p w14:paraId="31C8099D" w14:textId="5966F73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Tak.</w:t>
            </w:r>
          </w:p>
        </w:tc>
        <w:tc>
          <w:tcPr>
            <w:tcW w:w="1842" w:type="dxa"/>
          </w:tcPr>
          <w:p w14:paraId="6225A42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6C8F7A4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AA6A64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1.9.</w:t>
            </w:r>
          </w:p>
        </w:tc>
        <w:tc>
          <w:tcPr>
            <w:tcW w:w="5154" w:type="dxa"/>
            <w:noWrap/>
            <w:vAlign w:val="bottom"/>
          </w:tcPr>
          <w:p w14:paraId="1645445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Obudowa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typu RACK wraz z szynami montażowymi, wysokość nie więcej niż 2U</w:t>
            </w:r>
          </w:p>
        </w:tc>
        <w:tc>
          <w:tcPr>
            <w:tcW w:w="1418" w:type="dxa"/>
            <w:noWrap/>
            <w:vAlign w:val="bottom"/>
          </w:tcPr>
          <w:p w14:paraId="7A5A8115" w14:textId="4A59D70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7D17028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00E88A6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6D13F7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1.10.</w:t>
            </w:r>
          </w:p>
        </w:tc>
        <w:tc>
          <w:tcPr>
            <w:tcW w:w="5154" w:type="dxa"/>
            <w:noWrap/>
            <w:vAlign w:val="bottom"/>
          </w:tcPr>
          <w:p w14:paraId="747DBAC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Redundantne zasilanie serwera - co najmniej dwa zasilacze 1100W 100-240 Vac</w:t>
            </w:r>
          </w:p>
        </w:tc>
        <w:tc>
          <w:tcPr>
            <w:tcW w:w="1418" w:type="dxa"/>
            <w:noWrap/>
            <w:vAlign w:val="bottom"/>
          </w:tcPr>
          <w:p w14:paraId="16738E15" w14:textId="739A6A6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6A1E862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512E167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89D1E6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1.11.</w:t>
            </w:r>
          </w:p>
        </w:tc>
        <w:tc>
          <w:tcPr>
            <w:tcW w:w="5154" w:type="dxa"/>
            <w:vAlign w:val="bottom"/>
          </w:tcPr>
          <w:p w14:paraId="7EA3FD9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Systemy operacyjne Windows Server 2019 - ilość licencji odpowiadająca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zaoferowanej konfiguracji serwerów, zgodnie z zasadami licencjonowania firmy Microsoft</w:t>
            </w:r>
          </w:p>
        </w:tc>
        <w:tc>
          <w:tcPr>
            <w:tcW w:w="1418" w:type="dxa"/>
            <w:noWrap/>
            <w:vAlign w:val="bottom"/>
          </w:tcPr>
          <w:p w14:paraId="7443FE6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6F83244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8A5C346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05DF5C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</w:t>
            </w:r>
          </w:p>
        </w:tc>
        <w:tc>
          <w:tcPr>
            <w:tcW w:w="5154" w:type="dxa"/>
            <w:noWrap/>
            <w:vAlign w:val="bottom"/>
          </w:tcPr>
          <w:p w14:paraId="7FAA8019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MACIERZ DYSKOWA - 2 sztuki</w:t>
            </w:r>
          </w:p>
        </w:tc>
        <w:tc>
          <w:tcPr>
            <w:tcW w:w="1418" w:type="dxa"/>
            <w:noWrap/>
            <w:vAlign w:val="bottom"/>
          </w:tcPr>
          <w:p w14:paraId="4B0130B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07B7FE5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2459A77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A41229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2.1.</w:t>
            </w:r>
          </w:p>
        </w:tc>
        <w:tc>
          <w:tcPr>
            <w:tcW w:w="5154" w:type="dxa"/>
            <w:noWrap/>
            <w:vAlign w:val="bottom"/>
          </w:tcPr>
          <w:p w14:paraId="3FD872E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Producent </w:t>
            </w:r>
          </w:p>
        </w:tc>
        <w:tc>
          <w:tcPr>
            <w:tcW w:w="1418" w:type="dxa"/>
            <w:noWrap/>
            <w:vAlign w:val="bottom"/>
          </w:tcPr>
          <w:p w14:paraId="6DBD4B1B" w14:textId="05F0C2DE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11F72B5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7314A34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343B17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2.2.</w:t>
            </w:r>
          </w:p>
        </w:tc>
        <w:tc>
          <w:tcPr>
            <w:tcW w:w="5154" w:type="dxa"/>
            <w:noWrap/>
            <w:vAlign w:val="bottom"/>
          </w:tcPr>
          <w:p w14:paraId="66FC84E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Nazwa i typ urządzenia</w:t>
            </w:r>
          </w:p>
        </w:tc>
        <w:tc>
          <w:tcPr>
            <w:tcW w:w="1418" w:type="dxa"/>
            <w:noWrap/>
            <w:vAlign w:val="bottom"/>
          </w:tcPr>
          <w:p w14:paraId="0082E411" w14:textId="4CF049D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38740D5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C354E09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8F892A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2.3.</w:t>
            </w:r>
          </w:p>
        </w:tc>
        <w:tc>
          <w:tcPr>
            <w:tcW w:w="5154" w:type="dxa"/>
            <w:noWrap/>
            <w:vAlign w:val="bottom"/>
          </w:tcPr>
          <w:p w14:paraId="131E910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Urządzenie do zabudowy w szafie RACK wraz z szynami montażowymi</w:t>
            </w:r>
          </w:p>
        </w:tc>
        <w:tc>
          <w:tcPr>
            <w:tcW w:w="1418" w:type="dxa"/>
            <w:noWrap/>
            <w:vAlign w:val="bottom"/>
          </w:tcPr>
          <w:p w14:paraId="16AF2951" w14:textId="776669C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58D0C57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E470572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03FF924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2.4.</w:t>
            </w:r>
          </w:p>
        </w:tc>
        <w:tc>
          <w:tcPr>
            <w:tcW w:w="5154" w:type="dxa"/>
            <w:noWrap/>
            <w:vAlign w:val="bottom"/>
          </w:tcPr>
          <w:p w14:paraId="7E9A791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Wysokość urządzenia nie więcej niż 2U</w:t>
            </w:r>
          </w:p>
        </w:tc>
        <w:tc>
          <w:tcPr>
            <w:tcW w:w="1418" w:type="dxa"/>
            <w:noWrap/>
            <w:vAlign w:val="bottom"/>
          </w:tcPr>
          <w:p w14:paraId="07235686" w14:textId="2EF6171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71BB01F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C239C05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5A8C08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2.5.</w:t>
            </w:r>
          </w:p>
        </w:tc>
        <w:tc>
          <w:tcPr>
            <w:tcW w:w="5154" w:type="dxa"/>
            <w:noWrap/>
            <w:vAlign w:val="bottom"/>
          </w:tcPr>
          <w:p w14:paraId="65EFCEC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Interfejs przyłączeniowy FC 32Gb</w:t>
            </w:r>
          </w:p>
        </w:tc>
        <w:tc>
          <w:tcPr>
            <w:tcW w:w="1418" w:type="dxa"/>
            <w:noWrap/>
            <w:vAlign w:val="bottom"/>
          </w:tcPr>
          <w:p w14:paraId="3BDC249F" w14:textId="510DC04E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0775C56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5CA17E7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0D25593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2.6.</w:t>
            </w:r>
          </w:p>
        </w:tc>
        <w:tc>
          <w:tcPr>
            <w:tcW w:w="5154" w:type="dxa"/>
            <w:noWrap/>
            <w:vAlign w:val="bottom"/>
          </w:tcPr>
          <w:p w14:paraId="6CDC4DF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val="fr-FR" w:eastAsia="pl-PL"/>
              </w:rPr>
            </w:pPr>
            <w:r w:rsidRPr="00A438A6">
              <w:rPr>
                <w:rFonts w:cs="Calibri"/>
                <w:sz w:val="20"/>
                <w:szCs w:val="20"/>
                <w:lang w:val="fr-FR" w:eastAsia="pl-PL"/>
              </w:rPr>
              <w:t>Kontroler macierzy - 32Gb FC 8 Port Dual Controller</w:t>
            </w:r>
          </w:p>
        </w:tc>
        <w:tc>
          <w:tcPr>
            <w:tcW w:w="1418" w:type="dxa"/>
            <w:noWrap/>
            <w:vAlign w:val="bottom"/>
          </w:tcPr>
          <w:p w14:paraId="5AA73B3E" w14:textId="17974D2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5C989CF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4261019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503DBE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2.7.</w:t>
            </w:r>
          </w:p>
        </w:tc>
        <w:tc>
          <w:tcPr>
            <w:tcW w:w="5154" w:type="dxa"/>
            <w:noWrap/>
            <w:vAlign w:val="bottom"/>
          </w:tcPr>
          <w:p w14:paraId="5017DE5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Komplet okablowania do podłączenia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macierzy - 8 x SFP+, FC32, 32Gb</w:t>
            </w:r>
          </w:p>
        </w:tc>
        <w:tc>
          <w:tcPr>
            <w:tcW w:w="1418" w:type="dxa"/>
            <w:noWrap/>
            <w:vAlign w:val="bottom"/>
          </w:tcPr>
          <w:p w14:paraId="3EBAB7DB" w14:textId="22786CD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1C2C222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EB4DF7B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3446D3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2.8.</w:t>
            </w:r>
          </w:p>
        </w:tc>
        <w:tc>
          <w:tcPr>
            <w:tcW w:w="5154" w:type="dxa"/>
            <w:noWrap/>
            <w:vAlign w:val="bottom"/>
          </w:tcPr>
          <w:p w14:paraId="131DD00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Zainstalowane dyski - co najmniej 6 x 1.6TB SSD SAS 24Gbps 512e</w:t>
            </w:r>
          </w:p>
        </w:tc>
        <w:tc>
          <w:tcPr>
            <w:tcW w:w="1418" w:type="dxa"/>
            <w:noWrap/>
            <w:vAlign w:val="bottom"/>
          </w:tcPr>
          <w:p w14:paraId="79C2BDEF" w14:textId="00F48ED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3EFD83C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84C79EB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BEE2D0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2.9.</w:t>
            </w:r>
          </w:p>
        </w:tc>
        <w:tc>
          <w:tcPr>
            <w:tcW w:w="5154" w:type="dxa"/>
            <w:noWrap/>
            <w:vAlign w:val="bottom"/>
          </w:tcPr>
          <w:p w14:paraId="1B4239F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Redundantne zasilanie macierzy - co najmniej dwa zasilacze 580W</w:t>
            </w:r>
          </w:p>
        </w:tc>
        <w:tc>
          <w:tcPr>
            <w:tcW w:w="1418" w:type="dxa"/>
            <w:noWrap/>
            <w:vAlign w:val="bottom"/>
          </w:tcPr>
          <w:p w14:paraId="56B76D95" w14:textId="41185E9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55F3E2B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1AD8365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8EDE92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3.</w:t>
            </w:r>
          </w:p>
        </w:tc>
        <w:tc>
          <w:tcPr>
            <w:tcW w:w="5154" w:type="dxa"/>
            <w:noWrap/>
            <w:vAlign w:val="bottom"/>
          </w:tcPr>
          <w:p w14:paraId="5A15C977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 xml:space="preserve">DODATKOWA PÓŁKA DO MACIERZY DYSKOWEJ - 2 </w:t>
            </w: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sztuki</w:t>
            </w:r>
          </w:p>
        </w:tc>
        <w:tc>
          <w:tcPr>
            <w:tcW w:w="1418" w:type="dxa"/>
            <w:noWrap/>
            <w:vAlign w:val="bottom"/>
          </w:tcPr>
          <w:p w14:paraId="10DECDD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4E8BBBB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DD6DE6E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89695B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3.1.</w:t>
            </w:r>
          </w:p>
        </w:tc>
        <w:tc>
          <w:tcPr>
            <w:tcW w:w="5154" w:type="dxa"/>
            <w:noWrap/>
            <w:vAlign w:val="bottom"/>
          </w:tcPr>
          <w:p w14:paraId="23F9F65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Producent </w:t>
            </w:r>
          </w:p>
        </w:tc>
        <w:tc>
          <w:tcPr>
            <w:tcW w:w="1418" w:type="dxa"/>
            <w:noWrap/>
            <w:vAlign w:val="bottom"/>
          </w:tcPr>
          <w:p w14:paraId="476BC97C" w14:textId="636EC04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0D1D732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8881BA7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71FFE3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3.2.</w:t>
            </w:r>
          </w:p>
        </w:tc>
        <w:tc>
          <w:tcPr>
            <w:tcW w:w="5154" w:type="dxa"/>
            <w:noWrap/>
            <w:vAlign w:val="bottom"/>
          </w:tcPr>
          <w:p w14:paraId="2167B50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Nazwa i typ urządzenia</w:t>
            </w:r>
          </w:p>
        </w:tc>
        <w:tc>
          <w:tcPr>
            <w:tcW w:w="1418" w:type="dxa"/>
            <w:noWrap/>
            <w:vAlign w:val="bottom"/>
          </w:tcPr>
          <w:p w14:paraId="2297D67C" w14:textId="652FBABE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360C14D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865E8D5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8999B3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3.3.</w:t>
            </w:r>
          </w:p>
        </w:tc>
        <w:tc>
          <w:tcPr>
            <w:tcW w:w="5154" w:type="dxa"/>
            <w:noWrap/>
            <w:vAlign w:val="bottom"/>
          </w:tcPr>
          <w:p w14:paraId="67E3E2F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Urządzenie do zabudowy w szafie RACK wraz z szynami montażowymi</w:t>
            </w:r>
          </w:p>
        </w:tc>
        <w:tc>
          <w:tcPr>
            <w:tcW w:w="1418" w:type="dxa"/>
            <w:noWrap/>
            <w:vAlign w:val="bottom"/>
          </w:tcPr>
          <w:p w14:paraId="2C863B93" w14:textId="731C058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34A8523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9C6C251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38A214B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3.4.</w:t>
            </w:r>
          </w:p>
        </w:tc>
        <w:tc>
          <w:tcPr>
            <w:tcW w:w="5154" w:type="dxa"/>
            <w:noWrap/>
            <w:vAlign w:val="bottom"/>
          </w:tcPr>
          <w:p w14:paraId="3D01621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Wysokość urządzenia nie więcej niż 2U</w:t>
            </w:r>
          </w:p>
        </w:tc>
        <w:tc>
          <w:tcPr>
            <w:tcW w:w="1418" w:type="dxa"/>
            <w:noWrap/>
            <w:vAlign w:val="bottom"/>
          </w:tcPr>
          <w:p w14:paraId="791CA2E8" w14:textId="150D0B9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5AA291F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25BE891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919747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3.5.</w:t>
            </w:r>
          </w:p>
        </w:tc>
        <w:tc>
          <w:tcPr>
            <w:tcW w:w="5154" w:type="dxa"/>
            <w:noWrap/>
            <w:vAlign w:val="bottom"/>
          </w:tcPr>
          <w:p w14:paraId="7096E22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Interfejs przyłączeniowy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SAS</w:t>
            </w:r>
          </w:p>
        </w:tc>
        <w:tc>
          <w:tcPr>
            <w:tcW w:w="1418" w:type="dxa"/>
            <w:noWrap/>
            <w:vAlign w:val="bottom"/>
          </w:tcPr>
          <w:p w14:paraId="676F174F" w14:textId="3081BFE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2BDE186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4F65FB9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AF5A36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3.6.</w:t>
            </w:r>
          </w:p>
        </w:tc>
        <w:tc>
          <w:tcPr>
            <w:tcW w:w="5154" w:type="dxa"/>
            <w:noWrap/>
            <w:vAlign w:val="bottom"/>
          </w:tcPr>
          <w:p w14:paraId="5C8B282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Zainstalowane dyski - co najmniej 12 x 12TB 7.2rpm SAS 12Gbps</w:t>
            </w:r>
          </w:p>
        </w:tc>
        <w:tc>
          <w:tcPr>
            <w:tcW w:w="1418" w:type="dxa"/>
            <w:noWrap/>
            <w:vAlign w:val="bottom"/>
          </w:tcPr>
          <w:p w14:paraId="61910AD5" w14:textId="7CAAB41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145967F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B531E42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3AC312C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3.7.</w:t>
            </w:r>
          </w:p>
        </w:tc>
        <w:tc>
          <w:tcPr>
            <w:tcW w:w="5154" w:type="dxa"/>
            <w:noWrap/>
            <w:vAlign w:val="bottom"/>
          </w:tcPr>
          <w:p w14:paraId="68B321B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Redundantne zasilanie półki - co najmniej dwa zasilacze 580W</w:t>
            </w:r>
          </w:p>
        </w:tc>
        <w:tc>
          <w:tcPr>
            <w:tcW w:w="1418" w:type="dxa"/>
            <w:noWrap/>
            <w:vAlign w:val="bottom"/>
          </w:tcPr>
          <w:p w14:paraId="3B21851B" w14:textId="6579A8A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0FFC40E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23413B1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EBCAE3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4.</w:t>
            </w:r>
          </w:p>
        </w:tc>
        <w:tc>
          <w:tcPr>
            <w:tcW w:w="5154" w:type="dxa"/>
            <w:noWrap/>
            <w:vAlign w:val="bottom"/>
          </w:tcPr>
          <w:p w14:paraId="4774E89F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LOAD BALANCER - 2 sztuki</w:t>
            </w:r>
          </w:p>
        </w:tc>
        <w:tc>
          <w:tcPr>
            <w:tcW w:w="1418" w:type="dxa"/>
            <w:noWrap/>
            <w:vAlign w:val="bottom"/>
          </w:tcPr>
          <w:p w14:paraId="6B0CF7C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6B8A42D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8988A15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12E44D7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4.1</w:t>
            </w:r>
          </w:p>
        </w:tc>
        <w:tc>
          <w:tcPr>
            <w:tcW w:w="5154" w:type="dxa"/>
            <w:vAlign w:val="bottom"/>
          </w:tcPr>
          <w:p w14:paraId="5B7B76E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Sprzętowy lub softwareowy (maszyna wirtualna) load balancer - urządzenie służące do optymalizacji ruchu sieciowego pomiędzy serwerami oraz umożliwiające przekazywanie obciążeń oraz wspieranie różnych scenariuszy przywracania działania aplikacji w przypadku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 awarii.</w:t>
            </w:r>
          </w:p>
        </w:tc>
        <w:tc>
          <w:tcPr>
            <w:tcW w:w="1418" w:type="dxa"/>
            <w:noWrap/>
            <w:vAlign w:val="bottom"/>
          </w:tcPr>
          <w:p w14:paraId="2A8CBAF5" w14:textId="07475BF2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73ED105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A1E608F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3EF6358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</w:t>
            </w:r>
          </w:p>
        </w:tc>
        <w:tc>
          <w:tcPr>
            <w:tcW w:w="5154" w:type="dxa"/>
            <w:vAlign w:val="center"/>
          </w:tcPr>
          <w:p w14:paraId="0671279C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SYSTEM PACS - OPROGRAMOWANIE</w:t>
            </w:r>
          </w:p>
        </w:tc>
        <w:tc>
          <w:tcPr>
            <w:tcW w:w="1418" w:type="dxa"/>
            <w:vAlign w:val="center"/>
          </w:tcPr>
          <w:p w14:paraId="3E0946C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04ED994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C6DFBAE" w14:textId="77777777" w:rsidTr="00183676">
        <w:trPr>
          <w:trHeight w:val="2205"/>
        </w:trPr>
        <w:tc>
          <w:tcPr>
            <w:tcW w:w="1220" w:type="dxa"/>
            <w:noWrap/>
            <w:vAlign w:val="bottom"/>
          </w:tcPr>
          <w:p w14:paraId="6A6B1C0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5.1.</w:t>
            </w:r>
          </w:p>
        </w:tc>
        <w:tc>
          <w:tcPr>
            <w:tcW w:w="5154" w:type="dxa"/>
            <w:vAlign w:val="center"/>
          </w:tcPr>
          <w:p w14:paraId="2A1EF65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PACS pracujący w architekturze wysokiej dostępności (High Availability) Active - Passive, zapewniającej ciągłość dostępu do aplikacji oraz danych, opartej na dwóch fizycznych centrach danych (serwerownia podstawowa i zapasowa). Konfiguracja musi zapewniać automatyczne przełączenie ruchu do instancji systemu w serwerowni zapasowej w przypadku awarii sprzętu lub oprogramowania systemu podstawowego.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Dostawca musi zapewnić odpowiednie licen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cje systemów operacyjnych oraz systemu PACS dla obu instancji.</w:t>
            </w:r>
          </w:p>
        </w:tc>
        <w:tc>
          <w:tcPr>
            <w:tcW w:w="1418" w:type="dxa"/>
            <w:vAlign w:val="center"/>
          </w:tcPr>
          <w:p w14:paraId="00DDFBA5" w14:textId="5916F0E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F0BA2B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7057B6C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025D262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5.2.</w:t>
            </w:r>
          </w:p>
        </w:tc>
        <w:tc>
          <w:tcPr>
            <w:tcW w:w="5154" w:type="dxa"/>
            <w:vAlign w:val="center"/>
          </w:tcPr>
          <w:p w14:paraId="4A8DFEE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pracujący w architekturze klient – serwer.</w:t>
            </w:r>
          </w:p>
        </w:tc>
        <w:tc>
          <w:tcPr>
            <w:tcW w:w="1418" w:type="dxa"/>
            <w:vAlign w:val="center"/>
          </w:tcPr>
          <w:p w14:paraId="447A0353" w14:textId="6024224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7DE523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45702B2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85CBDD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5.3.</w:t>
            </w:r>
          </w:p>
        </w:tc>
        <w:tc>
          <w:tcPr>
            <w:tcW w:w="5154" w:type="dxa"/>
            <w:vAlign w:val="center"/>
          </w:tcPr>
          <w:p w14:paraId="58EBD89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Oprogramowanie systemu PACS zainstalowanie na platformie zwirtualizowanej (np. VMWare, Hyper-V). Licencje systemu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wirtualizacji po stronie Zamawiającego.</w:t>
            </w:r>
          </w:p>
        </w:tc>
        <w:tc>
          <w:tcPr>
            <w:tcW w:w="1418" w:type="dxa"/>
            <w:vAlign w:val="center"/>
          </w:tcPr>
          <w:p w14:paraId="6AE1F45F" w14:textId="6545157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968CB9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AE418D7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590F525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5.4.</w:t>
            </w:r>
          </w:p>
        </w:tc>
        <w:tc>
          <w:tcPr>
            <w:tcW w:w="5154" w:type="dxa"/>
            <w:vAlign w:val="center"/>
          </w:tcPr>
          <w:p w14:paraId="3BD687C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być wyposażony w środowisko testowe o funkcjonalnościach identycznych jak środowisko produkcyjne. Wszelkie aktualizacje, zmiany, modyfikacje muszą być wprowadzane najpierw w środowisku testowym zanim zostaną wdrożone w systemie produkcyjnym.</w:t>
            </w:r>
          </w:p>
        </w:tc>
        <w:tc>
          <w:tcPr>
            <w:tcW w:w="1418" w:type="dxa"/>
            <w:vAlign w:val="center"/>
          </w:tcPr>
          <w:p w14:paraId="3022E123" w14:textId="1662CEA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523D66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CC9CE92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6B999C2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5.5.</w:t>
            </w:r>
          </w:p>
        </w:tc>
        <w:tc>
          <w:tcPr>
            <w:tcW w:w="5154" w:type="dxa"/>
            <w:vAlign w:val="center"/>
          </w:tcPr>
          <w:p w14:paraId="7F08C99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Relacyjna baza danych SQL, wraz z systemem zarządzania relacyjną bazą danych (RDBMS), w postaci renomowanego produktu komercyjnego. Baza danych oparta na licencji oprogramowania prawnie zastrzeżonego. </w:t>
            </w:r>
          </w:p>
        </w:tc>
        <w:tc>
          <w:tcPr>
            <w:tcW w:w="1418" w:type="dxa"/>
            <w:vAlign w:val="center"/>
          </w:tcPr>
          <w:p w14:paraId="0F2B0AC4" w14:textId="679DAF4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148B16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62AF577" w14:textId="77777777" w:rsidTr="00183676">
        <w:trPr>
          <w:trHeight w:val="720"/>
        </w:trPr>
        <w:tc>
          <w:tcPr>
            <w:tcW w:w="1220" w:type="dxa"/>
            <w:noWrap/>
            <w:vAlign w:val="bottom"/>
          </w:tcPr>
          <w:p w14:paraId="4506AC4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5.6.</w:t>
            </w:r>
          </w:p>
        </w:tc>
        <w:tc>
          <w:tcPr>
            <w:tcW w:w="5154" w:type="dxa"/>
            <w:vAlign w:val="center"/>
          </w:tcPr>
          <w:p w14:paraId="2C0CF58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Bezterminowa (wieczysta) licencja systemu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PACS, umożliwiająca przesłanie do systemu co najmniej 150 000 badań rocznie</w:t>
            </w:r>
          </w:p>
        </w:tc>
        <w:tc>
          <w:tcPr>
            <w:tcW w:w="1418" w:type="dxa"/>
            <w:vAlign w:val="center"/>
          </w:tcPr>
          <w:p w14:paraId="08349ABC" w14:textId="275A5139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6520CB7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787579C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917B08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5.7.</w:t>
            </w:r>
          </w:p>
        </w:tc>
        <w:tc>
          <w:tcPr>
            <w:tcW w:w="5154" w:type="dxa"/>
            <w:vAlign w:val="center"/>
          </w:tcPr>
          <w:p w14:paraId="0CDBB37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umożliwiać automatyczną komunikację z innymi systemami w standardzie DICOM</w:t>
            </w:r>
          </w:p>
        </w:tc>
        <w:tc>
          <w:tcPr>
            <w:tcW w:w="1418" w:type="dxa"/>
            <w:vAlign w:val="center"/>
          </w:tcPr>
          <w:p w14:paraId="637F9059" w14:textId="4EEAB90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FD19D2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6A6C851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E38BF1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5.8.</w:t>
            </w:r>
          </w:p>
        </w:tc>
        <w:tc>
          <w:tcPr>
            <w:tcW w:w="5154" w:type="dxa"/>
            <w:vAlign w:val="center"/>
          </w:tcPr>
          <w:p w14:paraId="22085AE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val="en-GB"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val="en-GB" w:eastAsia="pl-PL"/>
              </w:rPr>
              <w:t>Obsługa protokołów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t xml:space="preserve"> DICOM C-Move, C-Find, C-Store, DICOM Storage Commitment oraz DICOM MPPS</w:t>
            </w:r>
          </w:p>
        </w:tc>
        <w:tc>
          <w:tcPr>
            <w:tcW w:w="1418" w:type="dxa"/>
            <w:vAlign w:val="center"/>
          </w:tcPr>
          <w:p w14:paraId="35953A6C" w14:textId="1DC9C3D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8EF128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6D06B5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075FAE4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5.9.</w:t>
            </w:r>
          </w:p>
        </w:tc>
        <w:tc>
          <w:tcPr>
            <w:tcW w:w="5154" w:type="dxa"/>
            <w:vAlign w:val="center"/>
          </w:tcPr>
          <w:p w14:paraId="7CACE3D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umożliwiać integrację z innymi systemami poprzez protokół HL7</w:t>
            </w:r>
          </w:p>
        </w:tc>
        <w:tc>
          <w:tcPr>
            <w:tcW w:w="1418" w:type="dxa"/>
            <w:vAlign w:val="center"/>
          </w:tcPr>
          <w:p w14:paraId="0FAE2626" w14:textId="606A2D8C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6FA2E5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CFB0016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64B3AB9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5.10.</w:t>
            </w:r>
          </w:p>
        </w:tc>
        <w:tc>
          <w:tcPr>
            <w:tcW w:w="5154" w:type="dxa"/>
            <w:vAlign w:val="center"/>
          </w:tcPr>
          <w:p w14:paraId="5BCBCE9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umożliwiać konfigurowanie list roboczych (MWL, Modality Worklist) dla poszczególnych urządzeń diagnostycznych.</w:t>
            </w:r>
          </w:p>
        </w:tc>
        <w:tc>
          <w:tcPr>
            <w:tcW w:w="1418" w:type="dxa"/>
            <w:vAlign w:val="center"/>
          </w:tcPr>
          <w:p w14:paraId="34C29E20" w14:textId="6462410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9390ED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72E9DD0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143F056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5.11.</w:t>
            </w:r>
          </w:p>
        </w:tc>
        <w:tc>
          <w:tcPr>
            <w:tcW w:w="5154" w:type="dxa"/>
            <w:vAlign w:val="center"/>
          </w:tcPr>
          <w:p w14:paraId="50BE860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obsługiwać funkcję modyfikacji tagów DICOM dla danych przychodzących i wychodzących, na podstawie konfigurowalnych reguł (DICOM Tag-morphing)</w:t>
            </w:r>
          </w:p>
        </w:tc>
        <w:tc>
          <w:tcPr>
            <w:tcW w:w="1418" w:type="dxa"/>
            <w:vAlign w:val="center"/>
          </w:tcPr>
          <w:p w14:paraId="38296775" w14:textId="28659C5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772B8F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8D8BC07" w14:textId="77777777" w:rsidTr="00183676">
        <w:trPr>
          <w:trHeight w:val="1575"/>
        </w:trPr>
        <w:tc>
          <w:tcPr>
            <w:tcW w:w="1220" w:type="dxa"/>
            <w:noWrap/>
            <w:vAlign w:val="bottom"/>
          </w:tcPr>
          <w:p w14:paraId="52693CB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5.12.</w:t>
            </w:r>
          </w:p>
        </w:tc>
        <w:tc>
          <w:tcPr>
            <w:tcW w:w="5154" w:type="dxa"/>
            <w:vAlign w:val="center"/>
          </w:tcPr>
          <w:p w14:paraId="2A4AC73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obsługiwać profil IOCM (Image Object Change Management) w dwóch klasach: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Image Manager (IM) - w trybie pasywnym, w którym system odbiera informacje o aktualizacjach od innego systemu PACS/VNA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Change Requestor (CR) - w trybie aktywnym, w którym system wysyła informacje o aktualizacjach do innego systemu PACS/VNA</w:t>
            </w:r>
          </w:p>
        </w:tc>
        <w:tc>
          <w:tcPr>
            <w:tcW w:w="1418" w:type="dxa"/>
            <w:vAlign w:val="center"/>
          </w:tcPr>
          <w:p w14:paraId="11CA670C" w14:textId="5D2B4D3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CE002D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F9D0892" w14:textId="77777777" w:rsidTr="00183676">
        <w:trPr>
          <w:trHeight w:val="1260"/>
        </w:trPr>
        <w:tc>
          <w:tcPr>
            <w:tcW w:w="1220" w:type="dxa"/>
            <w:noWrap/>
            <w:vAlign w:val="bottom"/>
          </w:tcPr>
          <w:p w14:paraId="0DB249E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5.13.</w:t>
            </w:r>
          </w:p>
        </w:tc>
        <w:tc>
          <w:tcPr>
            <w:tcW w:w="5154" w:type="dxa"/>
            <w:vAlign w:val="center"/>
          </w:tcPr>
          <w:p w14:paraId="0BCA42A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obsługiwać standard WADO w zakresie następujących usług: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WADO-RS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WADO-URI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QIDO-RS</w:t>
            </w:r>
          </w:p>
        </w:tc>
        <w:tc>
          <w:tcPr>
            <w:tcW w:w="1418" w:type="dxa"/>
            <w:vAlign w:val="center"/>
          </w:tcPr>
          <w:p w14:paraId="696C577C" w14:textId="0ECFC9E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C65272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3FAC32C" w14:textId="77777777" w:rsidTr="00183676">
        <w:trPr>
          <w:trHeight w:val="1260"/>
        </w:trPr>
        <w:tc>
          <w:tcPr>
            <w:tcW w:w="1220" w:type="dxa"/>
            <w:noWrap/>
            <w:vAlign w:val="bottom"/>
          </w:tcPr>
          <w:p w14:paraId="565EA26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5.14.</w:t>
            </w:r>
          </w:p>
        </w:tc>
        <w:tc>
          <w:tcPr>
            <w:tcW w:w="5154" w:type="dxa"/>
            <w:vAlign w:val="center"/>
          </w:tcPr>
          <w:p w14:paraId="078A243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wspierać co najmniej jeden z profili bezpieczeństwa, określonych w strandardzie DICOM: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Basic TLS Secure Transport Connection Profile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AES TLS Secure Transport Connection Profile</w:t>
            </w:r>
          </w:p>
        </w:tc>
        <w:tc>
          <w:tcPr>
            <w:tcW w:w="1418" w:type="dxa"/>
            <w:vAlign w:val="center"/>
          </w:tcPr>
          <w:p w14:paraId="599B1130" w14:textId="5481337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CEF50C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3941393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761E69D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5.15.</w:t>
            </w:r>
          </w:p>
        </w:tc>
        <w:tc>
          <w:tcPr>
            <w:tcW w:w="5154" w:type="dxa"/>
            <w:vAlign w:val="center"/>
          </w:tcPr>
          <w:p w14:paraId="07D03F4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Możliwość współpracy z usługą Active Directory (usługą katalogową systemu Windows polegającą na jednomiejscowej lokalizacji uprawnień użytkowników, obiektów w sieci i ich udostępniania</w:t>
            </w:r>
          </w:p>
        </w:tc>
        <w:tc>
          <w:tcPr>
            <w:tcW w:w="1418" w:type="dxa"/>
            <w:vAlign w:val="center"/>
          </w:tcPr>
          <w:p w14:paraId="5B18EB66" w14:textId="7BA0AEA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60B890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1291649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42BFE64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5.16.</w:t>
            </w:r>
          </w:p>
        </w:tc>
        <w:tc>
          <w:tcPr>
            <w:tcW w:w="5154" w:type="dxa"/>
            <w:vAlign w:val="center"/>
          </w:tcPr>
          <w:p w14:paraId="56F2705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System musi być wyposażony w zabezpieczenia przed nieautoryzowanym dostępem na poziomie klienta (aplikacja)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i serwera (serwer baz danych).</w:t>
            </w:r>
          </w:p>
        </w:tc>
        <w:tc>
          <w:tcPr>
            <w:tcW w:w="1418" w:type="dxa"/>
            <w:vAlign w:val="center"/>
          </w:tcPr>
          <w:p w14:paraId="2DCC69B6" w14:textId="4295918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600362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71D3596" w14:textId="77777777" w:rsidTr="00183676">
        <w:trPr>
          <w:trHeight w:val="2205"/>
        </w:trPr>
        <w:tc>
          <w:tcPr>
            <w:tcW w:w="1220" w:type="dxa"/>
            <w:noWrap/>
            <w:vAlign w:val="bottom"/>
          </w:tcPr>
          <w:p w14:paraId="4048ABE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5.17.</w:t>
            </w:r>
          </w:p>
        </w:tc>
        <w:tc>
          <w:tcPr>
            <w:tcW w:w="5154" w:type="dxa"/>
            <w:vAlign w:val="center"/>
          </w:tcPr>
          <w:p w14:paraId="3EF6F43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być wyposażony w narzędzia administracyjne umożliwiające: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zarządzanie bazą danych pacjentów i badań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wgląd w bieżący status systemu, wykorzystanie licencji, zajętość archiwum,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zarządzanie użytkownikami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monitorowanie infrastruktury sprzętowej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monitorowanie zdarzeń w systemie takich jak logowania użytkowników, wykonane operacje, przeprowadzone zmiany</w:t>
            </w:r>
          </w:p>
        </w:tc>
        <w:tc>
          <w:tcPr>
            <w:tcW w:w="1418" w:type="dxa"/>
            <w:vAlign w:val="center"/>
          </w:tcPr>
          <w:p w14:paraId="23049AA9" w14:textId="7EFC96A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2ADF85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FD37330" w14:textId="77777777" w:rsidTr="00183676">
        <w:trPr>
          <w:trHeight w:val="3150"/>
        </w:trPr>
        <w:tc>
          <w:tcPr>
            <w:tcW w:w="1220" w:type="dxa"/>
            <w:noWrap/>
            <w:vAlign w:val="bottom"/>
          </w:tcPr>
          <w:p w14:paraId="669DB1B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5.18.</w:t>
            </w:r>
          </w:p>
        </w:tc>
        <w:tc>
          <w:tcPr>
            <w:tcW w:w="5154" w:type="dxa"/>
            <w:vAlign w:val="center"/>
          </w:tcPr>
          <w:p w14:paraId="4AB8358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Monitorowanie i zapisywanie w systemie PACS min. następujących informacji dot. wydarzeń w systemie PACS, oprogramowaniu stacji diagnostycznej oraz systemie dystrybucji obrazów: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próba zmiany hasła użytkownika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nieudana próba zalogowania się użytkownika,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zalogowanie się użytkownika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zmiana statusu badania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próba wysłania ba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dania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br/>
              <w:t>- skopiowanie lub wydrukowanie badania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br/>
              <w:t>- skasowanie badania lub obrazu z badania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br/>
              <w:t>- nagranie badania na CD/DVD</w:t>
            </w:r>
          </w:p>
        </w:tc>
        <w:tc>
          <w:tcPr>
            <w:tcW w:w="1418" w:type="dxa"/>
            <w:vAlign w:val="center"/>
          </w:tcPr>
          <w:p w14:paraId="17EACA79" w14:textId="3B2C376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566478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EF1034A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4DF6F48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5.19.</w:t>
            </w:r>
          </w:p>
        </w:tc>
        <w:tc>
          <w:tcPr>
            <w:tcW w:w="5154" w:type="dxa"/>
            <w:vAlign w:val="center"/>
          </w:tcPr>
          <w:p w14:paraId="160F645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Archiwizacja obiektów DICOM i non-DICOM w archiwum online i nearline. Mechanizm zarządzania cyklem życia badań z możliwością definiowania reguł przenoszenia danych pomiędzy archiwami</w:t>
            </w:r>
          </w:p>
        </w:tc>
        <w:tc>
          <w:tcPr>
            <w:tcW w:w="1418" w:type="dxa"/>
            <w:vAlign w:val="center"/>
          </w:tcPr>
          <w:p w14:paraId="678A19A7" w14:textId="2A55F67C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806FBA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EBCE8D9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7F1834F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5.20.</w:t>
            </w:r>
          </w:p>
        </w:tc>
        <w:tc>
          <w:tcPr>
            <w:tcW w:w="5154" w:type="dxa"/>
            <w:vAlign w:val="center"/>
          </w:tcPr>
          <w:p w14:paraId="5EB547D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Obsługa formatów plików innych niż DICOM, z możliwością ich archiwizacji i wyświetlania. Co najmniej formaty: PDF, MPEG, MPEG-4, JPEG, TIFF, BMP, PNG</w:t>
            </w:r>
          </w:p>
        </w:tc>
        <w:tc>
          <w:tcPr>
            <w:tcW w:w="1418" w:type="dxa"/>
            <w:vAlign w:val="center"/>
          </w:tcPr>
          <w:p w14:paraId="6B91E808" w14:textId="193185F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77F6E7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0F279B0" w14:textId="77777777" w:rsidTr="00183676">
        <w:trPr>
          <w:trHeight w:val="1260"/>
        </w:trPr>
        <w:tc>
          <w:tcPr>
            <w:tcW w:w="1220" w:type="dxa"/>
            <w:noWrap/>
            <w:vAlign w:val="bottom"/>
          </w:tcPr>
          <w:p w14:paraId="403DBA1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5.21.</w:t>
            </w:r>
          </w:p>
        </w:tc>
        <w:tc>
          <w:tcPr>
            <w:tcW w:w="5154" w:type="dxa"/>
            <w:vAlign w:val="center"/>
          </w:tcPr>
          <w:p w14:paraId="1B1864AA" w14:textId="2EC7D0E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Mechanizm automatycznego przesyłania (przywracania) poprzednich badań pacjenta z archiwum do pamięci podręcznej systemu PACS i systemu dystrybucji obrazów na podstawie danych z rejestracji badania odebranych z systemu RIS, co umożliwia ich szybkie wyświe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tlenie na stacjach diagnostycznych i w systemie dystrybucji obrazów</w:t>
            </w:r>
          </w:p>
        </w:tc>
        <w:tc>
          <w:tcPr>
            <w:tcW w:w="1418" w:type="dxa"/>
            <w:vAlign w:val="center"/>
          </w:tcPr>
          <w:p w14:paraId="11DA879B" w14:textId="1BEE454E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791017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4F2B5F0" w14:textId="77777777" w:rsidTr="00183676">
        <w:trPr>
          <w:trHeight w:val="2520"/>
        </w:trPr>
        <w:tc>
          <w:tcPr>
            <w:tcW w:w="1220" w:type="dxa"/>
            <w:noWrap/>
            <w:vAlign w:val="bottom"/>
          </w:tcPr>
          <w:p w14:paraId="5133430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5.22.</w:t>
            </w:r>
          </w:p>
        </w:tc>
        <w:tc>
          <w:tcPr>
            <w:tcW w:w="5154" w:type="dxa"/>
            <w:vAlign w:val="center"/>
          </w:tcPr>
          <w:p w14:paraId="369E770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Autorouting badań na podstawie co najmniej następujących kryteriów: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rodzaju urządzenia diagnostycznego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rodzaju wykonanej procedury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lekarza kierującego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modalności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klasy SOP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ID pacjenta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stacji źródłowej</w:t>
            </w:r>
          </w:p>
        </w:tc>
        <w:tc>
          <w:tcPr>
            <w:tcW w:w="1418" w:type="dxa"/>
            <w:vAlign w:val="center"/>
          </w:tcPr>
          <w:p w14:paraId="7849E099" w14:textId="1EE5879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53A343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14D8206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4E3AB7B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5.23.</w:t>
            </w:r>
          </w:p>
        </w:tc>
        <w:tc>
          <w:tcPr>
            <w:tcW w:w="5154" w:type="dxa"/>
            <w:vAlign w:val="center"/>
          </w:tcPr>
          <w:p w14:paraId="3DA6C72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musi posiadać panel / menadżer licencji umożliwiający centralne zarządzanie licencjami. Poszczególne licencje na oprogramowanie klienckie mogą być przypisywane do wybranych grup lub użytkowników.</w:t>
            </w:r>
          </w:p>
        </w:tc>
        <w:tc>
          <w:tcPr>
            <w:tcW w:w="1418" w:type="dxa"/>
            <w:vAlign w:val="center"/>
          </w:tcPr>
          <w:p w14:paraId="42336E60" w14:textId="6BAA673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A1E23B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6100B7B" w14:textId="77777777" w:rsidTr="00183676">
        <w:trPr>
          <w:trHeight w:val="1575"/>
        </w:trPr>
        <w:tc>
          <w:tcPr>
            <w:tcW w:w="1220" w:type="dxa"/>
            <w:noWrap/>
            <w:vAlign w:val="bottom"/>
          </w:tcPr>
          <w:p w14:paraId="1581BF6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5.24.</w:t>
            </w:r>
          </w:p>
        </w:tc>
        <w:tc>
          <w:tcPr>
            <w:tcW w:w="5154" w:type="dxa"/>
            <w:vAlign w:val="center"/>
          </w:tcPr>
          <w:p w14:paraId="2D9988A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Trójstopniowa hierarchia uprawnień. Poziomy uprawnień min.: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system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grupa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użytkownik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wraz z funkcją dziedziczenia uprawnień</w:t>
            </w:r>
          </w:p>
        </w:tc>
        <w:tc>
          <w:tcPr>
            <w:tcW w:w="1418" w:type="dxa"/>
            <w:vAlign w:val="center"/>
          </w:tcPr>
          <w:p w14:paraId="761B20CD" w14:textId="0346E73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9C6434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868C295" w14:textId="77777777" w:rsidTr="008A291B">
        <w:trPr>
          <w:trHeight w:val="1721"/>
        </w:trPr>
        <w:tc>
          <w:tcPr>
            <w:tcW w:w="1220" w:type="dxa"/>
            <w:noWrap/>
            <w:vAlign w:val="bottom"/>
          </w:tcPr>
          <w:p w14:paraId="00953DD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5.25.</w:t>
            </w:r>
          </w:p>
        </w:tc>
        <w:tc>
          <w:tcPr>
            <w:tcW w:w="5154" w:type="dxa"/>
            <w:vAlign w:val="center"/>
          </w:tcPr>
          <w:p w14:paraId="7872E20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przydzielenia odpowiednich uprawnień dla określonego typu roli użytkownika systemu: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przesyłania badań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kasowanie badań z systemu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drukowania badania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zapisywania zmian obrazu badania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importu i eksportu badania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wykonywania opisu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modyfikacji ustawień wyświetlania</w:t>
            </w:r>
          </w:p>
        </w:tc>
        <w:tc>
          <w:tcPr>
            <w:tcW w:w="1418" w:type="dxa"/>
            <w:vAlign w:val="center"/>
          </w:tcPr>
          <w:p w14:paraId="6A564730" w14:textId="522156B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AF5F29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F783F70" w14:textId="77777777" w:rsidTr="00183676">
        <w:trPr>
          <w:trHeight w:val="2205"/>
        </w:trPr>
        <w:tc>
          <w:tcPr>
            <w:tcW w:w="1220" w:type="dxa"/>
            <w:noWrap/>
            <w:vAlign w:val="bottom"/>
          </w:tcPr>
          <w:p w14:paraId="05FD904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5.26.</w:t>
            </w:r>
          </w:p>
        </w:tc>
        <w:tc>
          <w:tcPr>
            <w:tcW w:w="5154" w:type="dxa"/>
            <w:vAlign w:val="center"/>
          </w:tcPr>
          <w:p w14:paraId="6B954FA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pozwala definiować jednostki oraz oddziały w tych jednostkach. Użytkownicy systemu mogą mieć przydzielany lub blokowany dostęp do danych z danej jednostki jak i oddziału.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Min. funkcjonalności konfiguracji dostępu to: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dostęp do danych pacjenta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dostęp do zleceń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dostęp do badań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dostęp do zaimportowanych dokumentów</w:t>
            </w:r>
          </w:p>
        </w:tc>
        <w:tc>
          <w:tcPr>
            <w:tcW w:w="1418" w:type="dxa"/>
            <w:vAlign w:val="center"/>
          </w:tcPr>
          <w:p w14:paraId="5A1CD124" w14:textId="6409731E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E90437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820F2B1" w14:textId="77777777" w:rsidTr="00183676">
        <w:trPr>
          <w:trHeight w:val="3780"/>
        </w:trPr>
        <w:tc>
          <w:tcPr>
            <w:tcW w:w="1220" w:type="dxa"/>
            <w:noWrap/>
            <w:vAlign w:val="bottom"/>
          </w:tcPr>
          <w:p w14:paraId="6326690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5.27.</w:t>
            </w:r>
          </w:p>
        </w:tc>
        <w:tc>
          <w:tcPr>
            <w:tcW w:w="5154" w:type="dxa"/>
            <w:vAlign w:val="center"/>
          </w:tcPr>
          <w:p w14:paraId="53990ED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Ograniczenie dostępu do badań dla użytkowników stacji diagnostycznych, systemu dystrybucji obrazów jak i urządzeń DICOM. Ograniczenia wprowadzane min. po: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numerze badania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modalności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płci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id pacjenta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opisie badania (study description)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id procedury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dacie badania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urządzeniu akwizycyjnym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tylko z obrazami kluczowymi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lekarzu kierującym</w:t>
            </w:r>
          </w:p>
        </w:tc>
        <w:tc>
          <w:tcPr>
            <w:tcW w:w="1418" w:type="dxa"/>
            <w:vAlign w:val="center"/>
          </w:tcPr>
          <w:p w14:paraId="31DBE06B" w14:textId="7407DC8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B3D422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171A33C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030B668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5.28.</w:t>
            </w:r>
          </w:p>
        </w:tc>
        <w:tc>
          <w:tcPr>
            <w:tcW w:w="5154" w:type="dxa"/>
            <w:vAlign w:val="center"/>
          </w:tcPr>
          <w:p w14:paraId="676987B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 ramach systemu zarządzania użytkownikami wymagany jest mechanizm wymuszenia reguł dla haseł, tj. minimalna długość i znaki występujące w hasłach, konieczność zmiany hasła co określoną liczbę dni, blokowanie konta po określonej liczbie nieudanych prób wpisania hasła.</w:t>
            </w:r>
          </w:p>
        </w:tc>
        <w:tc>
          <w:tcPr>
            <w:tcW w:w="1418" w:type="dxa"/>
            <w:vAlign w:val="center"/>
          </w:tcPr>
          <w:p w14:paraId="56891BB4" w14:textId="6CA4A19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4F8A22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BC379E5" w14:textId="77777777" w:rsidTr="00183676">
        <w:trPr>
          <w:trHeight w:val="1500"/>
        </w:trPr>
        <w:tc>
          <w:tcPr>
            <w:tcW w:w="1220" w:type="dxa"/>
            <w:noWrap/>
            <w:vAlign w:val="bottom"/>
          </w:tcPr>
          <w:p w14:paraId="6F90124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5.29.</w:t>
            </w:r>
          </w:p>
        </w:tc>
        <w:tc>
          <w:tcPr>
            <w:tcW w:w="5154" w:type="dxa"/>
            <w:vAlign w:val="center"/>
          </w:tcPr>
          <w:p w14:paraId="051B2E8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Nielimitowana licencja na podłączenie urządzeń diagnostycznych – podłączenie kolejnych urządzeń diagnostycznych nie wymaga dodatkowych licencji po stronie systemu PACS. Koszt ew. licencji i konfiguracji urządzeń diagnostycznych po stronie Zamawiającego.</w:t>
            </w:r>
          </w:p>
        </w:tc>
        <w:tc>
          <w:tcPr>
            <w:tcW w:w="1418" w:type="dxa"/>
            <w:vAlign w:val="center"/>
          </w:tcPr>
          <w:p w14:paraId="7ED5A691" w14:textId="1B239B6C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564169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F55984C" w14:textId="77777777" w:rsidTr="00183676">
        <w:trPr>
          <w:trHeight w:val="1245"/>
        </w:trPr>
        <w:tc>
          <w:tcPr>
            <w:tcW w:w="1220" w:type="dxa"/>
            <w:noWrap/>
            <w:vAlign w:val="bottom"/>
          </w:tcPr>
          <w:p w14:paraId="2528144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5.30.</w:t>
            </w:r>
          </w:p>
        </w:tc>
        <w:tc>
          <w:tcPr>
            <w:tcW w:w="5154" w:type="dxa"/>
            <w:vAlign w:val="center"/>
          </w:tcPr>
          <w:p w14:paraId="0D9E58E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Generowanie DICOM Modality Worklist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dla urządzeń diagnostycznych przez system PACS na podstawie odebranych od systemu HIS/RIS wiadomościach HL7</w:t>
            </w:r>
          </w:p>
        </w:tc>
        <w:tc>
          <w:tcPr>
            <w:tcW w:w="1418" w:type="dxa"/>
            <w:vAlign w:val="center"/>
          </w:tcPr>
          <w:p w14:paraId="0EC4AA53" w14:textId="400E32C2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9C6EBE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25409E" w:rsidRPr="00A438A6" w14:paraId="4C46CD8B" w14:textId="77777777" w:rsidTr="00183676">
        <w:trPr>
          <w:trHeight w:val="1245"/>
        </w:trPr>
        <w:tc>
          <w:tcPr>
            <w:tcW w:w="1220" w:type="dxa"/>
            <w:noWrap/>
            <w:vAlign w:val="bottom"/>
          </w:tcPr>
          <w:p w14:paraId="7C6B53AF" w14:textId="3470B92A" w:rsidR="0025409E" w:rsidRPr="0025409E" w:rsidRDefault="0025409E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cs="Calibri"/>
                <w:sz w:val="20"/>
                <w:szCs w:val="20"/>
                <w:lang w:eastAsia="pl-PL"/>
              </w:rPr>
              <w:t>5.31.</w:t>
            </w:r>
          </w:p>
        </w:tc>
        <w:tc>
          <w:tcPr>
            <w:tcW w:w="5154" w:type="dxa"/>
            <w:vAlign w:val="center"/>
          </w:tcPr>
          <w:p w14:paraId="3124B679" w14:textId="77777777" w:rsidR="0025409E" w:rsidRPr="0025409E" w:rsidRDefault="0025409E" w:rsidP="0025409E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ascii="Aptos CE" w:hAnsi="Aptos CE" w:cs="Calibri"/>
                <w:sz w:val="20"/>
                <w:szCs w:val="20"/>
                <w:lang w:eastAsia="pl-PL"/>
              </w:rPr>
              <w:t>Urządzenia, które należy podłączyć do systemu PACS poprzez DICOM i DMWL:</w:t>
            </w:r>
          </w:p>
          <w:p w14:paraId="68790C88" w14:textId="77777777" w:rsidR="0025409E" w:rsidRPr="0025409E" w:rsidRDefault="0025409E" w:rsidP="0025409E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cs="Calibri"/>
                <w:sz w:val="20"/>
                <w:szCs w:val="20"/>
                <w:lang w:eastAsia="pl-PL"/>
              </w:rPr>
              <w:t>- aparaty RTG - 11 sztuki</w:t>
            </w:r>
          </w:p>
          <w:p w14:paraId="06E2AFAD" w14:textId="77777777" w:rsidR="0025409E" w:rsidRPr="0025409E" w:rsidRDefault="0025409E" w:rsidP="0025409E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cs="Calibri"/>
                <w:sz w:val="20"/>
                <w:szCs w:val="20"/>
                <w:lang w:eastAsia="pl-PL"/>
              </w:rPr>
              <w:t>- aparat TK - 2 sztuka</w:t>
            </w:r>
          </w:p>
          <w:p w14:paraId="417A3366" w14:textId="77777777" w:rsidR="0025409E" w:rsidRPr="0025409E" w:rsidRDefault="0025409E" w:rsidP="0025409E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cs="Calibri"/>
                <w:sz w:val="20"/>
                <w:szCs w:val="20"/>
                <w:lang w:eastAsia="pl-PL"/>
              </w:rPr>
              <w:t>- angiograf - 1 sztuka</w:t>
            </w:r>
          </w:p>
          <w:p w14:paraId="0812A8B3" w14:textId="77777777" w:rsidR="0025409E" w:rsidRPr="0025409E" w:rsidRDefault="0025409E" w:rsidP="0025409E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cs="Calibri"/>
                <w:sz w:val="20"/>
                <w:szCs w:val="20"/>
                <w:lang w:eastAsia="pl-PL"/>
              </w:rPr>
              <w:t>- aparat RM - 1 sztuka</w:t>
            </w:r>
          </w:p>
          <w:p w14:paraId="4EDE89EF" w14:textId="77777777" w:rsidR="0025409E" w:rsidRPr="0025409E" w:rsidRDefault="0025409E" w:rsidP="0025409E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cs="Calibri"/>
                <w:sz w:val="20"/>
                <w:szCs w:val="20"/>
                <w:lang w:eastAsia="pl-PL"/>
              </w:rPr>
              <w:t>- aparat USG - 10</w:t>
            </w:r>
          </w:p>
          <w:p w14:paraId="3C766546" w14:textId="4A5E646C" w:rsidR="0025409E" w:rsidRPr="00A438A6" w:rsidRDefault="0025409E" w:rsidP="0025409E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ascii="Aptos CE" w:hAnsi="Aptos CE" w:cs="Calibri"/>
                <w:sz w:val="20"/>
                <w:szCs w:val="20"/>
                <w:lang w:eastAsia="pl-PL"/>
              </w:rPr>
              <w:t>Wszystkie urządzenia diagnostyczne są wyposażone w interfejs DICOM Store i Worklist. Konieczne prace integracyjne ze strony serwisu podłączanych urządzeń zapewnia Zamawiający</w:t>
            </w:r>
          </w:p>
        </w:tc>
        <w:tc>
          <w:tcPr>
            <w:tcW w:w="1418" w:type="dxa"/>
            <w:vAlign w:val="center"/>
          </w:tcPr>
          <w:p w14:paraId="2517FC48" w14:textId="7BBE22FA" w:rsidR="0025409E" w:rsidRPr="0025409E" w:rsidRDefault="0025409E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25409E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436256F" w14:textId="77777777" w:rsidR="0025409E" w:rsidRPr="00A438A6" w:rsidRDefault="0025409E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596D2B6" w14:textId="77777777" w:rsidTr="00126928">
        <w:trPr>
          <w:trHeight w:val="2930"/>
        </w:trPr>
        <w:tc>
          <w:tcPr>
            <w:tcW w:w="1220" w:type="dxa"/>
            <w:noWrap/>
            <w:vAlign w:val="bottom"/>
          </w:tcPr>
          <w:p w14:paraId="2E6AD40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5.32.</w:t>
            </w:r>
          </w:p>
        </w:tc>
        <w:tc>
          <w:tcPr>
            <w:tcW w:w="5154" w:type="dxa"/>
            <w:vAlign w:val="center"/>
          </w:tcPr>
          <w:p w14:paraId="53561F0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val="en-GB"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val="en-GB" w:eastAsia="pl-PL"/>
              </w:rPr>
              <w:t xml:space="preserve">Obsługiwane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t>klasy DICOM, co najmniej: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CT Image Storage  1.2.840.10008.5.1.4.1.1.2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MR Image Storage  1.2.840.10008.5.1.4.1.1.4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Nuclear Medicine Image Storage  1.2.840.10008.5.1.4.1.1.20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Secondary Capture Image Storage  1.2.840.10008.5.1.4.1.1.7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X-Ray Radiofluoroscopic Image Storage  1.2.840.10008.5.1.4.1.1.12.2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X-Ray Angiographic Image Storage  1.2.840.10008.5.1.4.1.1.12.1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X-Ray Angiographic Bi-Plane Image Storage  1.2.840.10008.5.1.4.1.1.12.3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Ultrasound Image Storage  1.2.840.10008.5.1.4.1.1.6.1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Ultrasound Multi-Frame Image Storage  1.2.840.10008.5.1.4.1.1.3.1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Computed Radiography Image Storage  1.2.840.10008.5.1.4.1.1.1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Grayscale Softcopy Presentation State Storage  1.2.840.10008.5.1.4.1.1.11.1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Color Softcopy Presentation State Storage  1.2.840.10008.5.1.4.1.1.11.2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Pseudo-Color Softcopy Presentation State Storage  1.2.840.10008.5.1.4.1.1.11.3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Digital X-Ray Image Storage For Presentation  1.2.840.10008.5.1.4.1.1.1.1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Digital X-Ray Image Storage For Processing 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lastRenderedPageBreak/>
              <w:t xml:space="preserve">1.2.840.10008.5.1.4.1.1.1.1.1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Digital Mammography X-Ray Image Storage For Presentation  1.2.840.10008.5.1.4.1.1.1.2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Digital Mammography X-Ray Image Storage For Processing  1.2.840.10008.5.1.4.1.1.1.2.1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Digital Intra Oral X-Ray Image Storage For Presentation  1.2.840.10008.5.1.4.1.1.1.3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Digital Intra Oral X-Ray Image Storage For Processing  1.2.840.10008.5.1.4.1.1.1.3.1 </w:t>
            </w:r>
          </w:p>
        </w:tc>
        <w:tc>
          <w:tcPr>
            <w:tcW w:w="1418" w:type="dxa"/>
            <w:vAlign w:val="center"/>
          </w:tcPr>
          <w:p w14:paraId="29F08E95" w14:textId="1DB46312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1842" w:type="dxa"/>
          </w:tcPr>
          <w:p w14:paraId="0C9AB17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4FC4550" w14:textId="77777777" w:rsidTr="00C84BAD">
        <w:trPr>
          <w:trHeight w:val="4095"/>
        </w:trPr>
        <w:tc>
          <w:tcPr>
            <w:tcW w:w="1220" w:type="dxa"/>
            <w:noWrap/>
            <w:vAlign w:val="bottom"/>
          </w:tcPr>
          <w:p w14:paraId="261E579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5.33.</w:t>
            </w:r>
          </w:p>
        </w:tc>
        <w:tc>
          <w:tcPr>
            <w:tcW w:w="5154" w:type="dxa"/>
            <w:vAlign w:val="center"/>
          </w:tcPr>
          <w:p w14:paraId="75136D5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val="en-GB"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val="en-GB" w:eastAsia="pl-PL"/>
              </w:rPr>
              <w:t>Obsługiwane klasy DICOM ciąg dalszy, co najmniej:</w:t>
            </w:r>
            <w:r w:rsidRPr="00A438A6">
              <w:rPr>
                <w:rFonts w:ascii="Aptos CE" w:hAnsi="Aptos CE" w:cs="Calibri"/>
                <w:sz w:val="20"/>
                <w:szCs w:val="20"/>
                <w:lang w:val="en-GB" w:eastAsia="pl-PL"/>
              </w:rPr>
              <w:br/>
              <w:t xml:space="preserve">RT Image Storage  1.2.840.10008.5.1.4.1.1.481.1 </w:t>
            </w:r>
            <w:r w:rsidRPr="00A438A6">
              <w:rPr>
                <w:rFonts w:ascii="Aptos CE" w:hAnsi="Aptos CE" w:cs="Calibri"/>
                <w:sz w:val="20"/>
                <w:szCs w:val="20"/>
                <w:lang w:val="en-GB" w:eastAsia="pl-PL"/>
              </w:rPr>
              <w:br/>
              <w:t xml:space="preserve">RT Dose Storage  1.2.840.10008.5.1.4.1.1.481.2 </w:t>
            </w:r>
            <w:r w:rsidRPr="00A438A6">
              <w:rPr>
                <w:rFonts w:ascii="Aptos CE" w:hAnsi="Aptos CE" w:cs="Calibri"/>
                <w:sz w:val="20"/>
                <w:szCs w:val="20"/>
                <w:lang w:val="en-GB" w:eastAsia="pl-PL"/>
              </w:rPr>
              <w:br/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t xml:space="preserve">RT Structure Set Storage  1.2.840.10008.5.1.4.1.1.481.3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RT Beams Treatment Record Storage  1.2.840.10008.5.1.4.1.1.481.4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RT Plan Storage  1.2.840.10008.5.1.4.1.1.481.5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Positron Emission Tomography  1.2.840.10008.5.1.4.1.1.128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VL Endoscopic Image Storage  1.2.840.10008.5.1.4.1.1.77.1.1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VL Microscopic Image Storage  1.2.840.10008.5.1.4.1.1.77.1.2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VL Slide Coordinates Microscopic Image Storage  1.2.840.10008.5.1.4.1.1.77.1.3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VL Photographic Image Storage  1.2.840.10008.5.1.4.1.1.77.1.4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12-lead ECG Waveform Storage  1.2.840.10008.5.1.4.1.1.9.1.1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/>
              <w:t xml:space="preserve">General ECG Waveform Storage  1.2.840.10008.5.1.4.1.1.9.1.2 </w:t>
            </w:r>
          </w:p>
        </w:tc>
        <w:tc>
          <w:tcPr>
            <w:tcW w:w="1418" w:type="dxa"/>
            <w:noWrap/>
            <w:vAlign w:val="center"/>
          </w:tcPr>
          <w:p w14:paraId="05574807" w14:textId="6BEB5BE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Tak. </w:t>
            </w:r>
          </w:p>
        </w:tc>
        <w:tc>
          <w:tcPr>
            <w:tcW w:w="1842" w:type="dxa"/>
          </w:tcPr>
          <w:p w14:paraId="0072F3B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126928" w:rsidRPr="00126928" w14:paraId="6B7E6DF8" w14:textId="77777777" w:rsidTr="00160919">
        <w:trPr>
          <w:trHeight w:val="4095"/>
        </w:trPr>
        <w:tc>
          <w:tcPr>
            <w:tcW w:w="1220" w:type="dxa"/>
            <w:noWrap/>
            <w:vAlign w:val="bottom"/>
          </w:tcPr>
          <w:p w14:paraId="77DE05C2" w14:textId="267FF567" w:rsidR="00126928" w:rsidRPr="00A438A6" w:rsidRDefault="0012692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126928">
              <w:rPr>
                <w:rFonts w:cs="Calibri"/>
                <w:sz w:val="20"/>
                <w:szCs w:val="20"/>
                <w:lang w:val="en-GB" w:eastAsia="pl-PL"/>
              </w:rPr>
              <w:t> 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5.34.</w:t>
            </w:r>
          </w:p>
        </w:tc>
        <w:tc>
          <w:tcPr>
            <w:tcW w:w="5154" w:type="dxa"/>
            <w:vAlign w:val="center"/>
          </w:tcPr>
          <w:p w14:paraId="1B8FE5EE" w14:textId="6C1E2B98" w:rsidR="00126928" w:rsidRPr="00A438A6" w:rsidRDefault="00126928" w:rsidP="00121E33">
            <w:pPr>
              <w:spacing w:line="240" w:lineRule="auto"/>
              <w:rPr>
                <w:rFonts w:ascii="Aptos CE" w:hAnsi="Aptos CE" w:cs="Calibri"/>
                <w:sz w:val="20"/>
                <w:szCs w:val="20"/>
                <w:lang w:val="en-GB" w:eastAsia="pl-PL"/>
              </w:rPr>
            </w:pPr>
            <w:r w:rsidRPr="00A438A6">
              <w:rPr>
                <w:rFonts w:cs="Calibri"/>
                <w:sz w:val="20"/>
                <w:szCs w:val="20"/>
                <w:lang w:val="en-GB" w:eastAsia="pl-PL"/>
              </w:rPr>
              <w:t>Wspierane profile IHE, co namniej: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Scheduled Workflow (SWF)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Imaging Object Change Management (IOCM)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Access to Radiology Information (ARI)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Patient Information Reconciliation (PIR)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Consistent Presentation of Images (CPI)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Cross-enterprise Document Sharing (XDS.b)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Cross-enterprise Document Sharing for Imaging (XDS.b-I)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Cross-enterprise User Assertion (XUA)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Cross-enterprise Document Reliable Interchange (XDR)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Cross-Enterprise Sharing of Scanned Documents (XDS-SD)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Basic Patient Privacy Consents (BPPC)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Patient Demographic Query HL7 V3 (PDQv3)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Patient Identifier Cross-referencing (PIX)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Evidence Documents (ED)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Simple Image and Numeric Report (SINR)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Mammography Image (MAMMO)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Key Image Note (KIN)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Nuclear Medicine Imaging (NMI)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Audit Trial and Node Authentication (ATNA)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Consistent Time (CT)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Portable Data for Imaging (PDI)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Reporting Workflow Profile (RWF)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Import Reconciliation Workflow Integration Profile (IRWF)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 xml:space="preserve">Teaching File and Clinical Trial Export (TCE) </w:t>
            </w:r>
            <w:r w:rsidRPr="00A438A6">
              <w:rPr>
                <w:rFonts w:cs="Calibri"/>
                <w:sz w:val="20"/>
                <w:szCs w:val="20"/>
                <w:lang w:val="en-GB" w:eastAsia="pl-PL"/>
              </w:rPr>
              <w:br w:type="page"/>
              <w:t>Post-Processing Workflow (PWF)</w:t>
            </w:r>
          </w:p>
        </w:tc>
        <w:tc>
          <w:tcPr>
            <w:tcW w:w="1418" w:type="dxa"/>
            <w:noWrap/>
            <w:vAlign w:val="center"/>
          </w:tcPr>
          <w:p w14:paraId="7A749813" w14:textId="3F32C2A8" w:rsidR="00126928" w:rsidRPr="00126928" w:rsidRDefault="002268C3" w:rsidP="00121E33">
            <w:pPr>
              <w:spacing w:line="240" w:lineRule="auto"/>
              <w:rPr>
                <w:rFonts w:ascii="Aptos CE" w:hAnsi="Aptos CE" w:cs="Calibri"/>
                <w:sz w:val="20"/>
                <w:szCs w:val="20"/>
                <w:lang w:val="en-GB"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65FB0F14" w14:textId="77777777" w:rsidR="00126928" w:rsidRPr="00126928" w:rsidRDefault="00126928" w:rsidP="00121E33">
            <w:pPr>
              <w:spacing w:line="240" w:lineRule="auto"/>
              <w:rPr>
                <w:rFonts w:cs="Calibri"/>
                <w:sz w:val="20"/>
                <w:szCs w:val="20"/>
                <w:lang w:val="en-GB" w:eastAsia="pl-PL"/>
              </w:rPr>
            </w:pPr>
          </w:p>
        </w:tc>
      </w:tr>
      <w:tr w:rsidR="009F2D48" w:rsidRPr="00A438A6" w14:paraId="6A52F8FD" w14:textId="77777777" w:rsidTr="00126928">
        <w:trPr>
          <w:trHeight w:val="4206"/>
        </w:trPr>
        <w:tc>
          <w:tcPr>
            <w:tcW w:w="1220" w:type="dxa"/>
            <w:noWrap/>
            <w:vAlign w:val="bottom"/>
          </w:tcPr>
          <w:p w14:paraId="5F71287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5.35.</w:t>
            </w:r>
          </w:p>
        </w:tc>
        <w:tc>
          <w:tcPr>
            <w:tcW w:w="5154" w:type="dxa"/>
            <w:vAlign w:val="center"/>
          </w:tcPr>
          <w:p w14:paraId="132AC41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Integracja systemu PACS z systemem HIS zamawiającego z wykorzystaniem standardu HL7, umożliwiająca: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1. Odbieranie w PACS zleceń z HIS oraz aktualizacji zleceń, zawierających następujące informacje: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imię i nazwisko pacjenta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dane zleconej procedury badania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dane oddziału zlecającego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numer PESEL pacjenta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dane lekarza zlecającego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dane o dacie i godzinie zlecenia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dane aparatu/pracowni, gdzie ma się odbyć badanie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2. Wysyłanie z PACS do HIS potwierdzenia o wykonanym badaniu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3. Odbieranie w PACS opisu badania wykonanego w HIS oraz każdej jego zmiany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4. Odbieranie w PACS uaktualnień z HIS w obiegu danych dotyczących pacjenta, jego badań oraz ich opisów. Zakres danych/aktualizacji składający się z: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imienia i nazwiska pacjenta,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procedury badania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priorytetu badania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lekarza opisującego 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oddziału zlecające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go  </w:t>
            </w:r>
          </w:p>
        </w:tc>
        <w:tc>
          <w:tcPr>
            <w:tcW w:w="1418" w:type="dxa"/>
            <w:vAlign w:val="center"/>
          </w:tcPr>
          <w:p w14:paraId="6AB162D2" w14:textId="35DC3334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229028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C0E55BB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0C26FD1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5.36.</w:t>
            </w:r>
          </w:p>
        </w:tc>
        <w:tc>
          <w:tcPr>
            <w:tcW w:w="5154" w:type="dxa"/>
            <w:vAlign w:val="center"/>
          </w:tcPr>
          <w:p w14:paraId="4EC84CD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/>
                <w:sz w:val="20"/>
                <w:szCs w:val="20"/>
              </w:rPr>
              <w:t>Integracja systemu PACS w Platformą Usług Inteligentnych (PUI) przygotowywaną przez Centrum e-Zdrowia, w zakresie koniecznym do realizacji wskaźników programy „KPO digitalizacja”</w:t>
            </w:r>
          </w:p>
        </w:tc>
        <w:tc>
          <w:tcPr>
            <w:tcW w:w="1418" w:type="dxa"/>
            <w:vAlign w:val="center"/>
          </w:tcPr>
          <w:p w14:paraId="7539E7F7" w14:textId="5BA5209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984F09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E5013B5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1CFB92F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5.37.</w:t>
            </w:r>
          </w:p>
        </w:tc>
        <w:tc>
          <w:tcPr>
            <w:tcW w:w="5154" w:type="dxa"/>
            <w:vAlign w:val="center"/>
          </w:tcPr>
          <w:p w14:paraId="7A42EC9E" w14:textId="1FB47CA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Migracja historycznych danych obrazowych DICOM z aktualnego archiwum PACS. Dane w formacie DICOM dostępne na dyskach HDD. Zamawiający zapewnia dostęp DICOM do posiadanego archiwum PACS. Ilość danych do migracji - </w:t>
            </w:r>
            <w:r w:rsidR="00ED15DB">
              <w:rPr>
                <w:rFonts w:ascii="Aptos CE" w:hAnsi="Aptos CE" w:cs="Calibri"/>
                <w:sz w:val="20"/>
                <w:szCs w:val="20"/>
                <w:lang w:eastAsia="pl-PL"/>
              </w:rPr>
              <w:t>65</w:t>
            </w:r>
            <w:r w:rsidR="00ED15DB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TB. </w:t>
            </w:r>
            <w:r w:rsidR="00F056F2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- </w:t>
            </w:r>
            <w:r w:rsidR="00F056F2" w:rsidRPr="00F056F2">
              <w:rPr>
                <w:rFonts w:ascii="Aptos CE" w:hAnsi="Aptos CE" w:cs="Calibri"/>
                <w:sz w:val="20"/>
                <w:szCs w:val="20"/>
                <w:lang w:eastAsia="pl-PL"/>
              </w:rPr>
              <w:t>dopuszcza się wykonanie migracji danych starszych niż 6 miesięcy w okresie pierwszych 12 miesięcy wsparcia gwarancyjnego</w:t>
            </w:r>
          </w:p>
        </w:tc>
        <w:tc>
          <w:tcPr>
            <w:tcW w:w="1418" w:type="dxa"/>
            <w:vAlign w:val="center"/>
          </w:tcPr>
          <w:p w14:paraId="747C5B23" w14:textId="68DF29D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1C143B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9C02BFC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110D82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</w:t>
            </w:r>
          </w:p>
        </w:tc>
        <w:tc>
          <w:tcPr>
            <w:tcW w:w="5154" w:type="dxa"/>
            <w:vAlign w:val="center"/>
          </w:tcPr>
          <w:p w14:paraId="2E402781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KLIENT DIAGNOSTYCZNY</w:t>
            </w:r>
          </w:p>
        </w:tc>
        <w:tc>
          <w:tcPr>
            <w:tcW w:w="1418" w:type="dxa"/>
            <w:vAlign w:val="center"/>
          </w:tcPr>
          <w:p w14:paraId="6E385EA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0393D78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048AA18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C64498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6.1.</w:t>
            </w:r>
          </w:p>
        </w:tc>
        <w:tc>
          <w:tcPr>
            <w:tcW w:w="5154" w:type="dxa"/>
            <w:vAlign w:val="center"/>
          </w:tcPr>
          <w:p w14:paraId="6E647D0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Licencja umożliwiająca dostęp do aplikacji klienta PACS nieograniczonej liczbie jednoczesnych użytkowników (Unlimited License)</w:t>
            </w:r>
          </w:p>
        </w:tc>
        <w:tc>
          <w:tcPr>
            <w:tcW w:w="1418" w:type="dxa"/>
            <w:vAlign w:val="center"/>
          </w:tcPr>
          <w:p w14:paraId="201C7079" w14:textId="54564FF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E13950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CEE0EF4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0EB24D7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6.2.</w:t>
            </w:r>
          </w:p>
        </w:tc>
        <w:tc>
          <w:tcPr>
            <w:tcW w:w="5154" w:type="dxa"/>
            <w:vAlign w:val="center"/>
          </w:tcPr>
          <w:p w14:paraId="695178A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Interfejs aplikacji klienta diagnostycznego w całości w języku polskim</w:t>
            </w:r>
          </w:p>
        </w:tc>
        <w:tc>
          <w:tcPr>
            <w:tcW w:w="1418" w:type="dxa"/>
            <w:vAlign w:val="center"/>
          </w:tcPr>
          <w:p w14:paraId="758FB7D9" w14:textId="0E47800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58CFDB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FC91456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3C0665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6.3.</w:t>
            </w:r>
          </w:p>
        </w:tc>
        <w:tc>
          <w:tcPr>
            <w:tcW w:w="5154" w:type="dxa"/>
            <w:vAlign w:val="center"/>
          </w:tcPr>
          <w:p w14:paraId="47228D7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Programowe szyfrowanie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połączenia aplikacji klienta z systemem PACS</w:t>
            </w:r>
          </w:p>
        </w:tc>
        <w:tc>
          <w:tcPr>
            <w:tcW w:w="1418" w:type="dxa"/>
            <w:vAlign w:val="center"/>
          </w:tcPr>
          <w:p w14:paraId="139AE09C" w14:textId="6807E562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7A77F3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14956F7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01E048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6.4.</w:t>
            </w:r>
          </w:p>
        </w:tc>
        <w:tc>
          <w:tcPr>
            <w:tcW w:w="5154" w:type="dxa"/>
            <w:vAlign w:val="center"/>
          </w:tcPr>
          <w:p w14:paraId="2AA08E5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Dostęp do aplikacji klienta tylko po zalogowaniu przy pomocy loginu i hasła</w:t>
            </w:r>
          </w:p>
        </w:tc>
        <w:tc>
          <w:tcPr>
            <w:tcW w:w="1418" w:type="dxa"/>
            <w:vAlign w:val="center"/>
          </w:tcPr>
          <w:p w14:paraId="6C81EE55" w14:textId="11F7D412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FA1125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EF43805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259A26E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6.5.</w:t>
            </w:r>
          </w:p>
        </w:tc>
        <w:tc>
          <w:tcPr>
            <w:tcW w:w="5154" w:type="dxa"/>
            <w:vAlign w:val="center"/>
          </w:tcPr>
          <w:p w14:paraId="25D28E5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ustawienia czasu automatycznego wylogowania użytkownika w przypadku braku aktywności oraz czasu ważności hasła konta użytkownika</w:t>
            </w:r>
          </w:p>
        </w:tc>
        <w:tc>
          <w:tcPr>
            <w:tcW w:w="1418" w:type="dxa"/>
            <w:vAlign w:val="center"/>
          </w:tcPr>
          <w:p w14:paraId="19AB31BE" w14:textId="174656E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79FF7D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0E1E259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A15D8C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6.6.</w:t>
            </w:r>
          </w:p>
        </w:tc>
        <w:tc>
          <w:tcPr>
            <w:tcW w:w="5154" w:type="dxa"/>
            <w:vAlign w:val="center"/>
          </w:tcPr>
          <w:p w14:paraId="632A36A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Dostęp do wszystkich badań zgromadzonych w systemie PACS</w:t>
            </w:r>
          </w:p>
        </w:tc>
        <w:tc>
          <w:tcPr>
            <w:tcW w:w="1418" w:type="dxa"/>
            <w:vAlign w:val="center"/>
          </w:tcPr>
          <w:p w14:paraId="657EFE14" w14:textId="0081052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3E6309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97BE5E0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4B5489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6.7.</w:t>
            </w:r>
          </w:p>
        </w:tc>
        <w:tc>
          <w:tcPr>
            <w:tcW w:w="5154" w:type="dxa"/>
            <w:vAlign w:val="center"/>
          </w:tcPr>
          <w:p w14:paraId="29AEEE6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Obsługa stanowiska wielomonitorowego z możliwością zdefiniowania układu w jakim informacje mają być wyświetlane na dostępnych monitorach</w:t>
            </w:r>
          </w:p>
        </w:tc>
        <w:tc>
          <w:tcPr>
            <w:tcW w:w="1418" w:type="dxa"/>
            <w:vAlign w:val="center"/>
          </w:tcPr>
          <w:p w14:paraId="36FB95B8" w14:textId="70B09C0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CAB7A3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45868D9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712E72D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6.8.</w:t>
            </w:r>
          </w:p>
        </w:tc>
        <w:tc>
          <w:tcPr>
            <w:tcW w:w="5154" w:type="dxa"/>
            <w:vAlign w:val="center"/>
          </w:tcPr>
          <w:p w14:paraId="1DF9030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Wyświetlanie jednocześnie co najmniej dwóch badań tego samego pacjenta, z czytelnym oznaczeniem badań aktualnych i poprzednich</w:t>
            </w:r>
          </w:p>
        </w:tc>
        <w:tc>
          <w:tcPr>
            <w:tcW w:w="1418" w:type="dxa"/>
            <w:vAlign w:val="center"/>
          </w:tcPr>
          <w:p w14:paraId="74F67B8F" w14:textId="7EA01DA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EEF107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07FA6A9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6EBB13B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6.9.</w:t>
            </w:r>
          </w:p>
        </w:tc>
        <w:tc>
          <w:tcPr>
            <w:tcW w:w="5154" w:type="dxa"/>
            <w:vAlign w:val="center"/>
          </w:tcPr>
          <w:p w14:paraId="19F026E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Wyświetlanie jednocześnie co najmniej dwóch badań różnych pacjentów, z czytelnym oznaczeniem badań i pacjentów</w:t>
            </w:r>
          </w:p>
        </w:tc>
        <w:tc>
          <w:tcPr>
            <w:tcW w:w="1418" w:type="dxa"/>
            <w:vAlign w:val="center"/>
          </w:tcPr>
          <w:p w14:paraId="2D103FA9" w14:textId="5F9D88B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366F98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7C63894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C29431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6.10.</w:t>
            </w:r>
          </w:p>
        </w:tc>
        <w:tc>
          <w:tcPr>
            <w:tcW w:w="5154" w:type="dxa"/>
            <w:vAlign w:val="center"/>
          </w:tcPr>
          <w:p w14:paraId="16007F5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Wyszukiwanie badań z wykorzystaniem co najmniej następujących kryteriów wyszukiwania: imię i nazwisko pacjenta, ID pacjenta, data badania, typ badania</w:t>
            </w:r>
          </w:p>
        </w:tc>
        <w:tc>
          <w:tcPr>
            <w:tcW w:w="1418" w:type="dxa"/>
            <w:vAlign w:val="center"/>
          </w:tcPr>
          <w:p w14:paraId="2C21D658" w14:textId="3992F5F4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928A81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6683A33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A7549A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6.11.</w:t>
            </w:r>
          </w:p>
        </w:tc>
        <w:tc>
          <w:tcPr>
            <w:tcW w:w="5154" w:type="dxa"/>
            <w:vAlign w:val="center"/>
          </w:tcPr>
          <w:p w14:paraId="709754D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Zapisywanie wyników wyszukiwania w postaci folderu</w:t>
            </w:r>
          </w:p>
        </w:tc>
        <w:tc>
          <w:tcPr>
            <w:tcW w:w="1418" w:type="dxa"/>
            <w:vAlign w:val="center"/>
          </w:tcPr>
          <w:p w14:paraId="789FDA9B" w14:textId="55F255D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792663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AF046F9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578D97C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6.12.</w:t>
            </w:r>
          </w:p>
        </w:tc>
        <w:tc>
          <w:tcPr>
            <w:tcW w:w="5154" w:type="dxa"/>
            <w:vAlign w:val="center"/>
          </w:tcPr>
          <w:p w14:paraId="6E04CB04" w14:textId="77777777" w:rsidR="009F2D48" w:rsidRPr="00A438A6" w:rsidRDefault="009F2D48" w:rsidP="00121E33">
            <w:pPr>
              <w:spacing w:line="240" w:lineRule="auto"/>
              <w:rPr>
                <w:rFonts w:ascii="Aptos CE" w:hAnsi="Aptos CE"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Wyświetlanie wszystkich danych dotyczących danego pacjenta w postaci osobnego okna zawierającego dane demograficzne pacjenta, wszystkie poprzednie badania pacjenta znajdujące się w systemie.</w:t>
            </w:r>
          </w:p>
        </w:tc>
        <w:tc>
          <w:tcPr>
            <w:tcW w:w="1418" w:type="dxa"/>
            <w:vAlign w:val="center"/>
          </w:tcPr>
          <w:p w14:paraId="48ED3FDB" w14:textId="4CD364BB" w:rsidR="009F2D48" w:rsidRPr="00A438A6" w:rsidRDefault="009F2D48" w:rsidP="00121E33">
            <w:pPr>
              <w:spacing w:line="240" w:lineRule="auto"/>
              <w:rPr>
                <w:rFonts w:ascii="Aptos CE" w:hAnsi="Aptos CE"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ascii="Aptos CE" w:hAnsi="Aptos CE"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0B78182" w14:textId="77777777" w:rsidR="009F2D48" w:rsidRPr="00A438A6" w:rsidRDefault="009F2D48" w:rsidP="00121E33">
            <w:pPr>
              <w:spacing w:line="240" w:lineRule="auto"/>
              <w:rPr>
                <w:rFonts w:ascii="Aptos CE" w:hAnsi="Aptos CE"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27FB5CA" w14:textId="77777777" w:rsidTr="00183676">
        <w:trPr>
          <w:trHeight w:val="1575"/>
        </w:trPr>
        <w:tc>
          <w:tcPr>
            <w:tcW w:w="1220" w:type="dxa"/>
            <w:noWrap/>
            <w:vAlign w:val="bottom"/>
          </w:tcPr>
          <w:p w14:paraId="5EDF83C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6.13.</w:t>
            </w:r>
          </w:p>
        </w:tc>
        <w:tc>
          <w:tcPr>
            <w:tcW w:w="5154" w:type="dxa"/>
            <w:vAlign w:val="center"/>
          </w:tcPr>
          <w:p w14:paraId="3FCED0B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System posiada funkcję udostępnienia sesji w celu konsultacji. Użytkownik może udostępnić widok aktualnie otwartego badania drugiemu użytkownikowi. Użytkownik zdalny podłącza się do sesji widząc w swoim oprogramowani stacji diagnostycznej udostępnione obrazy wraz z adnotacjami.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Funkcjonalność ta jest wbudowana w przeglądarkę diagnostyczną i nie może być realizowana przez oprogramowanie innych producentów (np. TeamViewer)</w:t>
            </w:r>
          </w:p>
        </w:tc>
        <w:tc>
          <w:tcPr>
            <w:tcW w:w="1418" w:type="dxa"/>
            <w:vAlign w:val="center"/>
          </w:tcPr>
          <w:p w14:paraId="7C29E680" w14:textId="64CC350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E7CBD8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A2C3494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386DE6D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6.14.</w:t>
            </w:r>
          </w:p>
        </w:tc>
        <w:tc>
          <w:tcPr>
            <w:tcW w:w="5154" w:type="dxa"/>
            <w:vAlign w:val="center"/>
          </w:tcPr>
          <w:p w14:paraId="6B3CB0F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Narzędzia do radiografii ogólnej:</w:t>
            </w:r>
          </w:p>
        </w:tc>
        <w:tc>
          <w:tcPr>
            <w:tcW w:w="1418" w:type="dxa"/>
            <w:vAlign w:val="center"/>
          </w:tcPr>
          <w:p w14:paraId="125F1502" w14:textId="091BE26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4B5B6A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249866F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CE9CF6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6.15.</w:t>
            </w:r>
          </w:p>
        </w:tc>
        <w:tc>
          <w:tcPr>
            <w:tcW w:w="5154" w:type="dxa"/>
            <w:vAlign w:val="center"/>
          </w:tcPr>
          <w:p w14:paraId="30C79B9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Płynna regulacja zaczernienia i kontrastu</w:t>
            </w:r>
          </w:p>
        </w:tc>
        <w:tc>
          <w:tcPr>
            <w:tcW w:w="1418" w:type="dxa"/>
            <w:vAlign w:val="center"/>
          </w:tcPr>
          <w:p w14:paraId="74A971D5" w14:textId="0DC9697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380E12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1843E06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79B702D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6.16.</w:t>
            </w:r>
          </w:p>
        </w:tc>
        <w:tc>
          <w:tcPr>
            <w:tcW w:w="5154" w:type="dxa"/>
            <w:vAlign w:val="center"/>
          </w:tcPr>
          <w:p w14:paraId="7CF442D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Regulacja poziomu okna (Window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/Level) z możliwością wyboru predefiniowanych ustawień oraz zapisywania własnych ustawień użytkownika</w:t>
            </w:r>
          </w:p>
        </w:tc>
        <w:tc>
          <w:tcPr>
            <w:tcW w:w="1418" w:type="dxa"/>
            <w:vAlign w:val="center"/>
          </w:tcPr>
          <w:p w14:paraId="41B48154" w14:textId="02E041E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4D243E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346F2AB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594C5A1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6.17.</w:t>
            </w:r>
          </w:p>
        </w:tc>
        <w:tc>
          <w:tcPr>
            <w:tcW w:w="5154" w:type="dxa"/>
            <w:vAlign w:val="center"/>
          </w:tcPr>
          <w:p w14:paraId="61295CD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wprowadzenia co najmniej dziesięciu predefiniowanych ustawień okna dla różnego typu badań osobno dla każdej modalności</w:t>
            </w:r>
          </w:p>
        </w:tc>
        <w:tc>
          <w:tcPr>
            <w:tcW w:w="1418" w:type="dxa"/>
            <w:vAlign w:val="center"/>
          </w:tcPr>
          <w:p w14:paraId="0ADB1280" w14:textId="66B879B4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161780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F008C87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33D87E9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6.18.</w:t>
            </w:r>
          </w:p>
        </w:tc>
        <w:tc>
          <w:tcPr>
            <w:tcW w:w="5154" w:type="dxa"/>
            <w:vAlign w:val="center"/>
          </w:tcPr>
          <w:p w14:paraId="137C182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Płynne powiększanie obrazu</w:t>
            </w:r>
          </w:p>
        </w:tc>
        <w:tc>
          <w:tcPr>
            <w:tcW w:w="1418" w:type="dxa"/>
            <w:vAlign w:val="center"/>
          </w:tcPr>
          <w:p w14:paraId="1AB67E36" w14:textId="4E21D31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614976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DFFC090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131BEF8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6.19.</w:t>
            </w:r>
          </w:p>
        </w:tc>
        <w:tc>
          <w:tcPr>
            <w:tcW w:w="5154" w:type="dxa"/>
            <w:vAlign w:val="center"/>
          </w:tcPr>
          <w:p w14:paraId="31C1221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Narzędzie lupy z możliwością definiowania wielkości powiększanego obszaru oraz stopnia powiększenia</w:t>
            </w:r>
          </w:p>
        </w:tc>
        <w:tc>
          <w:tcPr>
            <w:tcW w:w="1418" w:type="dxa"/>
            <w:vAlign w:val="center"/>
          </w:tcPr>
          <w:p w14:paraId="59461649" w14:textId="02AC1E5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0D1DC5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02B99D6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78B39F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6.20.</w:t>
            </w:r>
          </w:p>
        </w:tc>
        <w:tc>
          <w:tcPr>
            <w:tcW w:w="5154" w:type="dxa"/>
            <w:vAlign w:val="center"/>
          </w:tcPr>
          <w:p w14:paraId="533C8B6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przesuwania w obu osiach jednocześnie obrazu lub grupy obrazów</w:t>
            </w:r>
          </w:p>
        </w:tc>
        <w:tc>
          <w:tcPr>
            <w:tcW w:w="1418" w:type="dxa"/>
            <w:vAlign w:val="center"/>
          </w:tcPr>
          <w:p w14:paraId="54BCEF38" w14:textId="20154C5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F321A6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3FD6068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3B99E6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6.21.</w:t>
            </w:r>
          </w:p>
        </w:tc>
        <w:tc>
          <w:tcPr>
            <w:tcW w:w="5154" w:type="dxa"/>
            <w:vAlign w:val="center"/>
          </w:tcPr>
          <w:p w14:paraId="12FEB26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Inwersja obrazu</w:t>
            </w:r>
          </w:p>
        </w:tc>
        <w:tc>
          <w:tcPr>
            <w:tcW w:w="1418" w:type="dxa"/>
            <w:vAlign w:val="center"/>
          </w:tcPr>
          <w:p w14:paraId="500F0337" w14:textId="6C1EAA2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AFB411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C880F2E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A68473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6.22.</w:t>
            </w:r>
          </w:p>
        </w:tc>
        <w:tc>
          <w:tcPr>
            <w:tcW w:w="5154" w:type="dxa"/>
            <w:vAlign w:val="center"/>
          </w:tcPr>
          <w:p w14:paraId="3D8166E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Obrót obrazu o 90° w lewo lub w prawo</w:t>
            </w:r>
          </w:p>
        </w:tc>
        <w:tc>
          <w:tcPr>
            <w:tcW w:w="1418" w:type="dxa"/>
            <w:vAlign w:val="center"/>
          </w:tcPr>
          <w:p w14:paraId="28561FF6" w14:textId="6F72975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B14EB0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C3F2810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4ABB29A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6.23.</w:t>
            </w:r>
          </w:p>
        </w:tc>
        <w:tc>
          <w:tcPr>
            <w:tcW w:w="5154" w:type="dxa"/>
            <w:vAlign w:val="center"/>
          </w:tcPr>
          <w:p w14:paraId="093AED7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Narzędzia pomiarowe – pomiar długości, kąta, stosunku długości dwóch odcinków, kąt Cobb’a, współczynnik sercowo-płucny CTR (cardiothoracic ratio)</w:t>
            </w:r>
          </w:p>
        </w:tc>
        <w:tc>
          <w:tcPr>
            <w:tcW w:w="1418" w:type="dxa"/>
            <w:vAlign w:val="center"/>
          </w:tcPr>
          <w:p w14:paraId="34B51F10" w14:textId="1A26056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375761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EE5B0CF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4DF0EF5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6.24.</w:t>
            </w:r>
          </w:p>
        </w:tc>
        <w:tc>
          <w:tcPr>
            <w:tcW w:w="5154" w:type="dxa"/>
            <w:vAlign w:val="center"/>
          </w:tcPr>
          <w:p w14:paraId="2F1B9EE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Oznaczanie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obszaru zainteresowania o kształcie koła, elipsy, prostokąta wraz z pomiarem parametrów tego obszaru</w:t>
            </w:r>
          </w:p>
        </w:tc>
        <w:tc>
          <w:tcPr>
            <w:tcW w:w="1418" w:type="dxa"/>
            <w:vAlign w:val="center"/>
          </w:tcPr>
          <w:p w14:paraId="51AAB3EB" w14:textId="3FAB38C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CC50F3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91232F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CBCCA6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6.25.</w:t>
            </w:r>
          </w:p>
        </w:tc>
        <w:tc>
          <w:tcPr>
            <w:tcW w:w="5154" w:type="dxa"/>
            <w:vAlign w:val="center"/>
          </w:tcPr>
          <w:p w14:paraId="51AD4C5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Dodawanie adnotacji do obrazu z możliwością ich wyświetlenia lub ukrycia</w:t>
            </w:r>
          </w:p>
        </w:tc>
        <w:tc>
          <w:tcPr>
            <w:tcW w:w="1418" w:type="dxa"/>
            <w:vAlign w:val="center"/>
          </w:tcPr>
          <w:p w14:paraId="0055D882" w14:textId="46F5B8C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85FAA3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832354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A3AD38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6.26.</w:t>
            </w:r>
          </w:p>
        </w:tc>
        <w:tc>
          <w:tcPr>
            <w:tcW w:w="5154" w:type="dxa"/>
            <w:vAlign w:val="center"/>
          </w:tcPr>
          <w:p w14:paraId="5DD19DA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Narzędzie do oznaczania kręgów i dysków kręgosłupa</w:t>
            </w:r>
          </w:p>
        </w:tc>
        <w:tc>
          <w:tcPr>
            <w:tcW w:w="1418" w:type="dxa"/>
            <w:vAlign w:val="center"/>
          </w:tcPr>
          <w:p w14:paraId="4D9B32E4" w14:textId="5BBEF35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2268C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5FC396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ACCDD08" w14:textId="77777777" w:rsidTr="00183676">
        <w:trPr>
          <w:trHeight w:val="2520"/>
        </w:trPr>
        <w:tc>
          <w:tcPr>
            <w:tcW w:w="1220" w:type="dxa"/>
            <w:noWrap/>
            <w:vAlign w:val="bottom"/>
          </w:tcPr>
          <w:p w14:paraId="4933968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6.27.</w:t>
            </w:r>
          </w:p>
        </w:tc>
        <w:tc>
          <w:tcPr>
            <w:tcW w:w="5154" w:type="dxa"/>
            <w:vAlign w:val="center"/>
          </w:tcPr>
          <w:p w14:paraId="5B2189EF" w14:textId="42A51E2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Aplikacja do rekonstrukcji wielopłaszczyznowych (MPR) z obsługą MinPR i MipPR, umożliwiająca: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zmianę orientacji linii rekonstrukcji za pomocą kursora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zmianę grubości warstwy rekonstrukcji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rekonstrukcje w płaszczyźnie skośnej i podwójnie skośnej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rekonstrucje po krzywej równoległe i współosiowe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dowolne obracanie zrekonstruowanego obrazu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Licencja bezterminowa dla nieograniczonej ilości jednoczesnych użytkowników i minimum 7500 badań rocznie</w:t>
            </w:r>
          </w:p>
        </w:tc>
        <w:tc>
          <w:tcPr>
            <w:tcW w:w="1418" w:type="dxa"/>
            <w:vAlign w:val="center"/>
          </w:tcPr>
          <w:p w14:paraId="30B58312" w14:textId="47899E1B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3E721CE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623BF70" w14:textId="77777777" w:rsidTr="00183676">
        <w:trPr>
          <w:trHeight w:val="3780"/>
        </w:trPr>
        <w:tc>
          <w:tcPr>
            <w:tcW w:w="1220" w:type="dxa"/>
            <w:noWrap/>
            <w:vAlign w:val="bottom"/>
          </w:tcPr>
          <w:p w14:paraId="60485E6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6.28.</w:t>
            </w:r>
          </w:p>
        </w:tc>
        <w:tc>
          <w:tcPr>
            <w:tcW w:w="5154" w:type="dxa"/>
            <w:vAlign w:val="center"/>
          </w:tcPr>
          <w:p w14:paraId="535BC30E" w14:textId="5DFD51C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Aplikacja do rekonstrukcji 3D z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badań CT i MR: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rekonstrukcje 3D w wysokiej rozdzielczości wykonywane na standardowym sprzęcie stacji diagnostycznej, bez koniczności użycia GPU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 xml:space="preserve">- </w:t>
            </w:r>
            <w:r w:rsidR="00430975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segmentacja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rekonstruowanego obszaru wraz z </w:t>
            </w:r>
            <w:r w:rsidR="00B04222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możliwością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definiowania tkanek co najmniej metodami: rozszerzania, akumulacji, mostka, punktu ziarna, VOI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narzędzie do automatycznego usuwania kości, działające w tle i pozwalające na normalną pracę w trakcie działania algorytmu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narzędzie do automatycznego usuwania obrazu stołu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 xml:space="preserve">- </w:t>
            </w:r>
            <w:r w:rsidR="00430975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definiowanie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płaszczyzn cięcia w celu ograniczenia obszaru rekonstrukcji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 xml:space="preserve">- narzędzia </w:t>
            </w:r>
            <w:r w:rsidR="00430975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definiowania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VOI - </w:t>
            </w:r>
            <w:r w:rsidR="00430975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dowolny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, owalny, prostokątny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Licencja bezterminowa dla nieograniczonej ilości jednoczesnych użytkowników i minimum  7500 badań rocznie</w:t>
            </w:r>
          </w:p>
        </w:tc>
        <w:tc>
          <w:tcPr>
            <w:tcW w:w="1418" w:type="dxa"/>
            <w:vAlign w:val="center"/>
          </w:tcPr>
          <w:p w14:paraId="0256DE29" w14:textId="47445037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599577D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C49885E" w14:textId="77777777" w:rsidTr="00183676">
        <w:trPr>
          <w:trHeight w:val="3780"/>
        </w:trPr>
        <w:tc>
          <w:tcPr>
            <w:tcW w:w="1220" w:type="dxa"/>
            <w:noWrap/>
            <w:vAlign w:val="bottom"/>
          </w:tcPr>
          <w:p w14:paraId="347402F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6.29.</w:t>
            </w:r>
          </w:p>
        </w:tc>
        <w:tc>
          <w:tcPr>
            <w:tcW w:w="5154" w:type="dxa"/>
            <w:vAlign w:val="center"/>
          </w:tcPr>
          <w:p w14:paraId="61A3221C" w14:textId="13554AC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Aplikacja do analizy naczyniowej pozwalająca na automatyczną detekcję przebiegu naczyń w zrekonstruowanym obrazie (3D, MIP), ocenę przewężeń i tętniaków wraz z możliwością zapisania wyniku analizy w postaci raportu dołączonego do badania. Aplikacja zawierająca protokoły analizy, co najmniej: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ogólny protokół naczyniowy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protokół aorty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protokół głowy i szyi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protokół manualny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Aplikacja zawierająca narzędzia do pomiarów przewężeń i tętniaków, umożliwiające automatyczny pomiar minimalnej/maksymalnej/średniej średnicy naczynia oraz długości wybranego segmentu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Licencja bezterminowa dla nieograniczonej ilości jednoczesnych użytkowników i minimum 7500 badań rocznie</w:t>
            </w:r>
          </w:p>
        </w:tc>
        <w:tc>
          <w:tcPr>
            <w:tcW w:w="1418" w:type="dxa"/>
            <w:vAlign w:val="center"/>
          </w:tcPr>
          <w:p w14:paraId="4A607E96" w14:textId="22C62294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72E5285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289DECC" w14:textId="77777777" w:rsidTr="00183676">
        <w:trPr>
          <w:trHeight w:val="2835"/>
        </w:trPr>
        <w:tc>
          <w:tcPr>
            <w:tcW w:w="1220" w:type="dxa"/>
            <w:noWrap/>
            <w:vAlign w:val="bottom"/>
          </w:tcPr>
          <w:p w14:paraId="0C01543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6.30.</w:t>
            </w:r>
          </w:p>
        </w:tc>
        <w:tc>
          <w:tcPr>
            <w:tcW w:w="5154" w:type="dxa"/>
            <w:vAlign w:val="center"/>
          </w:tcPr>
          <w:p w14:paraId="2A099D0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Aplikacja do oceny i monitorowania zmian nowotworowych i innych na podstaw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ie obrazów z badań CT i MR, zawierająca: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automatyczne narzędzia pomiarowe, działające metodą wolumetryczną i dwuwymiarową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dedykowane narzędzia pomiarowe dla płuc, wątroby, węzłów chłonnych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funkcję automatycznego łączenia zmian pomiędzy badaniami (aktualnymi i poprzednimi) wraz z porównaniem ich wymiarów i stopnia zmiany w czasie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obliczanie i wyświetlanie wyników porównania zmian w czasie zgodnie z kryteriami RECIST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Licencja bezterminowa dla nieograniczonej ilości jednoczesnych użytkowników i minimum 7500 badań rocznie</w:t>
            </w:r>
          </w:p>
        </w:tc>
        <w:tc>
          <w:tcPr>
            <w:tcW w:w="1418" w:type="dxa"/>
            <w:vAlign w:val="center"/>
          </w:tcPr>
          <w:p w14:paraId="4DDABCFC" w14:textId="6452BF16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5B90F16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0B59370" w14:textId="77777777" w:rsidTr="00183676">
        <w:trPr>
          <w:trHeight w:val="1890"/>
        </w:trPr>
        <w:tc>
          <w:tcPr>
            <w:tcW w:w="1220" w:type="dxa"/>
            <w:noWrap/>
            <w:vAlign w:val="bottom"/>
          </w:tcPr>
          <w:p w14:paraId="5E3524E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6.31.</w:t>
            </w:r>
          </w:p>
        </w:tc>
        <w:tc>
          <w:tcPr>
            <w:tcW w:w="5154" w:type="dxa"/>
            <w:vAlign w:val="center"/>
          </w:tcPr>
          <w:p w14:paraId="37D5A83B" w14:textId="4D80628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Aplikacja służąca do oceny parametrów perfuzji związanych z przepływem i </w:t>
            </w:r>
            <w:r w:rsidR="00430975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objętością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krwi w mózgu na podstawie badań TK. Aplikacja zawierająca interaktywne narzędzia ułatwiające proces analizy i porównania obrazów perfuzji w badaniach TK. Automatyczne wykrywanie AIF/VOF oraz linii środkowej mózgu. Obliczanie map tMIP, CBV, CBF, MTT, TTP.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Licencja bezterminowa dla nieograniczonej ilości jednoczesnych użytkowników i minimum 7500 badań rocznie</w:t>
            </w:r>
          </w:p>
        </w:tc>
        <w:tc>
          <w:tcPr>
            <w:tcW w:w="1418" w:type="dxa"/>
            <w:vAlign w:val="center"/>
          </w:tcPr>
          <w:p w14:paraId="1AA3B202" w14:textId="5579A441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14F0B0A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CA000F4" w14:textId="77777777" w:rsidTr="00183676">
        <w:trPr>
          <w:trHeight w:val="3780"/>
        </w:trPr>
        <w:tc>
          <w:tcPr>
            <w:tcW w:w="1220" w:type="dxa"/>
            <w:noWrap/>
            <w:vAlign w:val="bottom"/>
          </w:tcPr>
          <w:p w14:paraId="00E6264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6.32.</w:t>
            </w:r>
          </w:p>
        </w:tc>
        <w:tc>
          <w:tcPr>
            <w:tcW w:w="5154" w:type="dxa"/>
            <w:vAlign w:val="center"/>
          </w:tcPr>
          <w:p w14:paraId="1858202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Aplikacja służąca do oceny parametrów dyfuzji związanych z przepływem wody oraz parametrów perfuzji związanych z przepływem i objętością krwi w mózgu na podstawie badań MR (DWI, DTI). Aplikacja musi zawierać następujące funkcje: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automatyczne obliczanie maski mózgu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możliwość ręcznego dodawania i odejmowania obszarów maski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 xml:space="preserve"> - automatyczne obliczanie map DWI na podstawie danych ADC i eADC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automatyczne obliczanie map DTI na podstawie danych ADC, eADC, DWI iso, Ax diff, Rad diff, FA, VR.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narzędzie dodawania obszarów ROI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wyświetlanie wyników obliczeń w postaci tabeli.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Licencja bezterminowa dla nieograniczonej ilości jednoczesnych użytkowników i minimum 7500 badań rocznie</w:t>
            </w:r>
          </w:p>
        </w:tc>
        <w:tc>
          <w:tcPr>
            <w:tcW w:w="1418" w:type="dxa"/>
            <w:vAlign w:val="center"/>
          </w:tcPr>
          <w:p w14:paraId="07D568C3" w14:textId="369F35B8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2120A67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5196FF6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21519CA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6.33.</w:t>
            </w:r>
          </w:p>
        </w:tc>
        <w:tc>
          <w:tcPr>
            <w:tcW w:w="5154" w:type="dxa"/>
            <w:vAlign w:val="center"/>
          </w:tcPr>
          <w:p w14:paraId="52F33BE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Aplikacja do przeglądania badań EKG z dedykowanymi narzędziami do analizy przebiegów EKG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Licencja bezterminowa dla nieograniczonej ilości jednoczesnych użytkowników i minimum 40 000 badań rocznie</w:t>
            </w:r>
          </w:p>
        </w:tc>
        <w:tc>
          <w:tcPr>
            <w:tcW w:w="1418" w:type="dxa"/>
            <w:vAlign w:val="center"/>
          </w:tcPr>
          <w:p w14:paraId="584D340D" w14:textId="5DCA8B23" w:rsidR="009F2D48" w:rsidRPr="00A438A6" w:rsidRDefault="002268C3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24D2C69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50CC7A7" w14:textId="77777777" w:rsidTr="00183676">
        <w:trPr>
          <w:trHeight w:val="3465"/>
        </w:trPr>
        <w:tc>
          <w:tcPr>
            <w:tcW w:w="1220" w:type="dxa"/>
            <w:noWrap/>
            <w:vAlign w:val="bottom"/>
          </w:tcPr>
          <w:p w14:paraId="7BE919C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6.34.</w:t>
            </w:r>
          </w:p>
        </w:tc>
        <w:tc>
          <w:tcPr>
            <w:tcW w:w="5154" w:type="dxa"/>
            <w:vAlign w:val="center"/>
          </w:tcPr>
          <w:p w14:paraId="388F4A0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Aplikacja służąca do oceny zwapnień (Calcium Scoring) umożliwiająca analizę naczyń wieńcowych pod kątem ilości wapnia. Po zaznaczeniu obszaru aplikacja automatycznie oblicza punktację wapnia, stosując skalę Agatstona, metodę </w:t>
            </w:r>
            <w:r w:rsidRPr="00A438A6">
              <w:rPr>
                <w:rFonts w:cs="Calibri"/>
                <w:i/>
                <w:iCs/>
                <w:sz w:val="20"/>
                <w:szCs w:val="20"/>
                <w:lang w:eastAsia="pl-PL"/>
              </w:rPr>
              <w:t>volume scoring (VS)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 oraz</w:t>
            </w:r>
            <w:r w:rsidRPr="00A438A6">
              <w:rPr>
                <w:rFonts w:cs="Calibri"/>
                <w:i/>
                <w:iCs/>
                <w:sz w:val="20"/>
                <w:szCs w:val="20"/>
                <w:lang w:eastAsia="pl-PL"/>
              </w:rPr>
              <w:t xml:space="preserve"> mass scoring (MS).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Dedykowane nar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zędzia pomiarowe dla: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lewej tętnicy głównej (LMA)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gałęzi przedniej zstępującej (LAD)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gałęzi okalającej (LCX)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prawej tętnicy wieńcowej (RCA)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gałęxi międzykomorowej (PDA)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Licencja bezterminowa dla nieograniczonej ilości jednoczesnych użytkowników i minimum 7500 badań rocznie</w:t>
            </w:r>
          </w:p>
        </w:tc>
        <w:tc>
          <w:tcPr>
            <w:tcW w:w="1418" w:type="dxa"/>
            <w:vAlign w:val="center"/>
          </w:tcPr>
          <w:p w14:paraId="25E4E98A" w14:textId="77777777" w:rsidR="00381399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TAK - 1 punkt</w:t>
            </w:r>
            <w:r w:rsidR="00381399">
              <w:rPr>
                <w:rFonts w:cs="Calibri"/>
                <w:sz w:val="20"/>
                <w:szCs w:val="20"/>
                <w:lang w:eastAsia="pl-PL"/>
              </w:rPr>
              <w:t xml:space="preserve">ów </w:t>
            </w:r>
          </w:p>
          <w:p w14:paraId="6C17BAE4" w14:textId="50CEBAE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br w:type="page"/>
              <w:t>NIE - 0 punktów</w:t>
            </w:r>
          </w:p>
        </w:tc>
        <w:tc>
          <w:tcPr>
            <w:tcW w:w="1842" w:type="dxa"/>
          </w:tcPr>
          <w:p w14:paraId="6569C08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9C734FE" w14:textId="77777777" w:rsidTr="00183676">
        <w:trPr>
          <w:trHeight w:val="2520"/>
        </w:trPr>
        <w:tc>
          <w:tcPr>
            <w:tcW w:w="1220" w:type="dxa"/>
            <w:noWrap/>
            <w:vAlign w:val="bottom"/>
          </w:tcPr>
          <w:p w14:paraId="765410C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6.35.</w:t>
            </w:r>
          </w:p>
        </w:tc>
        <w:tc>
          <w:tcPr>
            <w:tcW w:w="5154" w:type="dxa"/>
            <w:vAlign w:val="center"/>
          </w:tcPr>
          <w:p w14:paraId="1213BA1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Aplikacja służąca do analizy badań CT serca umożliwiająca: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automatyczną segmentację i wyświetlanie obrazu serca w trzech płaszczyznach  - osi krótkiej, osi długiej, czterojamowej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widok jedno i wielofazowy, obsługujący badania pochodzące z aparatów różnych producentów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pracę w trybie Cine (fazowym i wolumetrycznym)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obrazowanie w trybie podwójnie skośnego MPR z możłiwością synchronicznego obracania obrazów odniesienia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Licencja bezterminowa dla nieograniczonej ilości jednoczesnych użytkowników.</w:t>
            </w:r>
          </w:p>
        </w:tc>
        <w:tc>
          <w:tcPr>
            <w:tcW w:w="1418" w:type="dxa"/>
            <w:vAlign w:val="center"/>
          </w:tcPr>
          <w:p w14:paraId="19D6050E" w14:textId="100DF56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TAK - 1 punkt</w:t>
            </w:r>
            <w:r w:rsidR="00381399">
              <w:rPr>
                <w:rFonts w:cs="Calibri"/>
                <w:sz w:val="20"/>
                <w:szCs w:val="20"/>
                <w:lang w:eastAsia="pl-PL"/>
              </w:rPr>
              <w:t>ów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br/>
              <w:t>NIE - 0 punktów</w:t>
            </w:r>
          </w:p>
        </w:tc>
        <w:tc>
          <w:tcPr>
            <w:tcW w:w="1842" w:type="dxa"/>
          </w:tcPr>
          <w:p w14:paraId="428CAC9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AAE4A5B" w14:textId="77777777" w:rsidTr="00183676">
        <w:trPr>
          <w:trHeight w:val="2520"/>
        </w:trPr>
        <w:tc>
          <w:tcPr>
            <w:tcW w:w="1220" w:type="dxa"/>
            <w:noWrap/>
            <w:vAlign w:val="bottom"/>
          </w:tcPr>
          <w:p w14:paraId="5A48B6F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6.36.</w:t>
            </w:r>
          </w:p>
        </w:tc>
        <w:tc>
          <w:tcPr>
            <w:tcW w:w="5154" w:type="dxa"/>
            <w:vAlign w:val="center"/>
          </w:tcPr>
          <w:p w14:paraId="329FC82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Możliwość rozbudowy o aplikację do analizy wieńcowej umożliwiająca: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automatyczną segmentację i identyfikację drzewa wieńcowego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wizualizację naczyń wieńcowych w przekroju oraz widoku panoramicznym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automatyczne obliczanie i wyświetlanie parametrów przekroju naczynia - minimalna i maksymalna średnica, pole powierzchni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automatyczna segmentacja i usuwanie z rekonstrukcji obrazu kości w obrębie klatki piersiowej (cage removal)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Licencja bezterminowa dla nieograniczonej ilości jednoczesnych użytkowników.</w:t>
            </w:r>
          </w:p>
        </w:tc>
        <w:tc>
          <w:tcPr>
            <w:tcW w:w="1418" w:type="dxa"/>
            <w:vAlign w:val="center"/>
          </w:tcPr>
          <w:p w14:paraId="36CEFA6E" w14:textId="787087D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TAK - 1 punkt</w:t>
            </w:r>
            <w:r w:rsidR="00381399">
              <w:rPr>
                <w:rFonts w:cs="Calibri"/>
                <w:sz w:val="20"/>
                <w:szCs w:val="20"/>
                <w:lang w:eastAsia="pl-PL"/>
              </w:rPr>
              <w:t>ów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br/>
              <w:t>NIE - 0 punktów</w:t>
            </w:r>
          </w:p>
        </w:tc>
        <w:tc>
          <w:tcPr>
            <w:tcW w:w="1842" w:type="dxa"/>
          </w:tcPr>
          <w:p w14:paraId="3D6A1B8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BBD61F0" w14:textId="77777777" w:rsidTr="00183676">
        <w:trPr>
          <w:trHeight w:val="1890"/>
        </w:trPr>
        <w:tc>
          <w:tcPr>
            <w:tcW w:w="1220" w:type="dxa"/>
            <w:noWrap/>
            <w:vAlign w:val="bottom"/>
          </w:tcPr>
          <w:p w14:paraId="7B674FC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6.37.</w:t>
            </w:r>
          </w:p>
        </w:tc>
        <w:tc>
          <w:tcPr>
            <w:tcW w:w="5154" w:type="dxa"/>
            <w:vAlign w:val="center"/>
          </w:tcPr>
          <w:p w14:paraId="456BC95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Możliwość rozbudowy o pakiet aplikacji kardiologicznych zawierający: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aplikację do oceny badań typu echo serca (USG) z pomiarami prędkości przepływu w czasie (VTI), frakcji wyrzutowej (EF), czasu półtrwania gradientu ciśnień (PHT) oraz trybem Cine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aplikację obsługującą badania angiograficzne typu DSA (Digital Subtraction Angiography) umożliwiającą wizualizację naczyń krwionośnych z wykorzytaniem metody subtrakcji. Licencja dla nieograniczonej ilości jednoczesnych użytkowników</w:t>
            </w:r>
          </w:p>
        </w:tc>
        <w:tc>
          <w:tcPr>
            <w:tcW w:w="1418" w:type="dxa"/>
            <w:vAlign w:val="center"/>
          </w:tcPr>
          <w:p w14:paraId="53184F8C" w14:textId="76174714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TAK - 1 punkt</w:t>
            </w:r>
            <w:r w:rsidR="00381399">
              <w:rPr>
                <w:rFonts w:cs="Calibri"/>
                <w:sz w:val="20"/>
                <w:szCs w:val="20"/>
                <w:lang w:eastAsia="pl-PL"/>
              </w:rPr>
              <w:t>ów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br/>
              <w:t>NIE - 0 punktów</w:t>
            </w:r>
          </w:p>
        </w:tc>
        <w:tc>
          <w:tcPr>
            <w:tcW w:w="1842" w:type="dxa"/>
          </w:tcPr>
          <w:p w14:paraId="66B07D2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AE2E305" w14:textId="77777777" w:rsidTr="00183676">
        <w:trPr>
          <w:trHeight w:val="2205"/>
        </w:trPr>
        <w:tc>
          <w:tcPr>
            <w:tcW w:w="1220" w:type="dxa"/>
            <w:noWrap/>
            <w:vAlign w:val="bottom"/>
          </w:tcPr>
          <w:p w14:paraId="4B62ECD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6.38.</w:t>
            </w:r>
          </w:p>
        </w:tc>
        <w:tc>
          <w:tcPr>
            <w:tcW w:w="5154" w:type="dxa"/>
            <w:vAlign w:val="center"/>
          </w:tcPr>
          <w:p w14:paraId="2D248D82" w14:textId="5150C7A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Możliwość rozbudowy o dedykowane narzędzia do analizy badań mammograficznych: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Narzędzie wyrównywania ściany klatki piersiowej względem krawędzi obrazu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Narzędzie automatycznego wyświetlania kolejnych segmentów obrazu mammograficznego w oryginalnej rozdzielczości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Narzędzie wyrównywania obrazów mammograficznych względem sutka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Narzędzie wyświetlania linii odniesienia sutka do identyfikacji lub korekty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 xml:space="preserve">- Wyświetlanie </w:t>
            </w:r>
            <w:r w:rsidR="00430975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znaczników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CAD na obrazach mammograficznych</w:t>
            </w:r>
          </w:p>
        </w:tc>
        <w:tc>
          <w:tcPr>
            <w:tcW w:w="1418" w:type="dxa"/>
            <w:vAlign w:val="center"/>
          </w:tcPr>
          <w:p w14:paraId="6E557DCE" w14:textId="302C8992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TAK - 1 punkt</w:t>
            </w:r>
            <w:r w:rsidR="00381399">
              <w:rPr>
                <w:rFonts w:cs="Calibri"/>
                <w:sz w:val="20"/>
                <w:szCs w:val="20"/>
                <w:lang w:eastAsia="pl-PL"/>
              </w:rPr>
              <w:t>ów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br/>
              <w:t>NIE - 0 punktów</w:t>
            </w:r>
          </w:p>
        </w:tc>
        <w:tc>
          <w:tcPr>
            <w:tcW w:w="1842" w:type="dxa"/>
          </w:tcPr>
          <w:p w14:paraId="60C82FE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5AF2C49" w14:textId="77777777" w:rsidTr="00183676">
        <w:trPr>
          <w:trHeight w:val="1890"/>
        </w:trPr>
        <w:tc>
          <w:tcPr>
            <w:tcW w:w="1220" w:type="dxa"/>
            <w:noWrap/>
            <w:vAlign w:val="bottom"/>
          </w:tcPr>
          <w:p w14:paraId="6D2C2DC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6.39.</w:t>
            </w:r>
          </w:p>
        </w:tc>
        <w:tc>
          <w:tcPr>
            <w:tcW w:w="5154" w:type="dxa"/>
            <w:vAlign w:val="center"/>
          </w:tcPr>
          <w:p w14:paraId="52E5FC65" w14:textId="23095AF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Możliwość rozbudowy o dedykowane narzędzia do obsługi badań DBT (Digital Breast Tomosynthesis):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funkcja automatycznego wyświetlania w trybie Cine z opcją definiowania ilości klatek na sekundę i sterowaniem odtwarzaniem (start, pauza, przewijanie, stop)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 xml:space="preserve">- funkcja ręcznego przewijania serii tomosyntezy za </w:t>
            </w:r>
            <w:r w:rsidR="006F25C7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pomocą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myszy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 w:type="page"/>
              <w:t>- mapa obrazu DBT z linią odniesienia wskazującą aktualnie wyświetlaną serię</w:t>
            </w:r>
          </w:p>
        </w:tc>
        <w:tc>
          <w:tcPr>
            <w:tcW w:w="1418" w:type="dxa"/>
            <w:vAlign w:val="center"/>
          </w:tcPr>
          <w:p w14:paraId="2CF6A12B" w14:textId="77777777" w:rsidR="00381399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TAK - 1 punkt</w:t>
            </w:r>
            <w:r w:rsidR="00381399">
              <w:rPr>
                <w:rFonts w:cs="Calibri"/>
                <w:sz w:val="20"/>
                <w:szCs w:val="20"/>
                <w:lang w:eastAsia="pl-PL"/>
              </w:rPr>
              <w:t>ów</w:t>
            </w:r>
          </w:p>
          <w:p w14:paraId="5C109052" w14:textId="62E9588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br w:type="page"/>
              <w:t>NIE - 0 punktów</w:t>
            </w:r>
          </w:p>
        </w:tc>
        <w:tc>
          <w:tcPr>
            <w:tcW w:w="1842" w:type="dxa"/>
          </w:tcPr>
          <w:p w14:paraId="027D8DA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04FC6D1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4C42BB5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6.40.</w:t>
            </w:r>
          </w:p>
        </w:tc>
        <w:tc>
          <w:tcPr>
            <w:tcW w:w="5154" w:type="dxa"/>
            <w:vAlign w:val="center"/>
          </w:tcPr>
          <w:p w14:paraId="371A131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Możliwość rozbudowy o aplikację do oceny badań angiograficznych umożliwiającą wizualizację naczyń krwionośnych, z wbudowanymi algorytmami subtrakcji dla badań DSA (Digital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Subtracion Angiography)</w:t>
            </w:r>
          </w:p>
        </w:tc>
        <w:tc>
          <w:tcPr>
            <w:tcW w:w="1418" w:type="dxa"/>
            <w:vAlign w:val="center"/>
          </w:tcPr>
          <w:p w14:paraId="7E5BE179" w14:textId="5A1BD7F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TAK - 1 punk</w:t>
            </w:r>
            <w:r w:rsidR="00381399">
              <w:rPr>
                <w:rFonts w:cs="Calibri"/>
                <w:sz w:val="20"/>
                <w:szCs w:val="20"/>
                <w:lang w:eastAsia="pl-PL"/>
              </w:rPr>
              <w:t>ów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br/>
              <w:t>NIE - 0 punktów</w:t>
            </w:r>
          </w:p>
        </w:tc>
        <w:tc>
          <w:tcPr>
            <w:tcW w:w="1842" w:type="dxa"/>
          </w:tcPr>
          <w:p w14:paraId="25E5EA0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DA265D" w:rsidRPr="00A438A6" w14:paraId="2736F66E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6B1FC162" w14:textId="64070D01" w:rsidR="00DA265D" w:rsidRPr="00A438A6" w:rsidRDefault="00DA265D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6.41.</w:t>
            </w:r>
          </w:p>
        </w:tc>
        <w:tc>
          <w:tcPr>
            <w:tcW w:w="5154" w:type="dxa"/>
            <w:vAlign w:val="center"/>
          </w:tcPr>
          <w:p w14:paraId="3C4AB7C0" w14:textId="5B9402C6" w:rsidR="00DA265D" w:rsidRPr="00DA265D" w:rsidRDefault="00DA265D" w:rsidP="00121E33">
            <w:pPr>
              <w:spacing w:line="240" w:lineRule="auto"/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</w:pPr>
            <w:r w:rsidRPr="00DA265D">
              <w:rPr>
                <w:rFonts w:cs="Calibri"/>
                <w:b/>
                <w:bCs/>
                <w:sz w:val="20"/>
                <w:szCs w:val="20"/>
                <w:lang w:eastAsia="pl-PL"/>
              </w:rPr>
              <w:t xml:space="preserve">Wszystkie aplikacje wymienione w punktach [6.27. – 6.40.] </w:t>
            </w:r>
            <w:r w:rsidRPr="00DA265D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 xml:space="preserve">muszą być integralną częścią klienta diagnostycznego. Wykluczone jest zastosowanie aplikacji firm trzecich i jakichkolwiek mechanizmów </w:t>
            </w:r>
            <w:r w:rsidRPr="00DA265D">
              <w:rPr>
                <w:rFonts w:cs="Calibri"/>
                <w:b/>
                <w:bCs/>
                <w:sz w:val="20"/>
                <w:szCs w:val="20"/>
                <w:lang w:eastAsia="pl-PL"/>
              </w:rPr>
              <w:t>ich integracji.</w:t>
            </w:r>
          </w:p>
        </w:tc>
        <w:tc>
          <w:tcPr>
            <w:tcW w:w="1418" w:type="dxa"/>
            <w:vAlign w:val="center"/>
          </w:tcPr>
          <w:p w14:paraId="19781100" w14:textId="62B89F8C" w:rsidR="00DA265D" w:rsidRPr="00A438A6" w:rsidRDefault="00DA265D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E30F515" w14:textId="77777777" w:rsidR="00DA265D" w:rsidRPr="00A438A6" w:rsidRDefault="00DA265D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0884C9F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0304C1F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6.42.</w:t>
            </w:r>
          </w:p>
        </w:tc>
        <w:tc>
          <w:tcPr>
            <w:tcW w:w="5154" w:type="dxa"/>
            <w:vAlign w:val="center"/>
          </w:tcPr>
          <w:p w14:paraId="689242F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Funkcja tworzenia istotnego obrazu oraz serii z jego oznakowaniem</w:t>
            </w:r>
          </w:p>
        </w:tc>
        <w:tc>
          <w:tcPr>
            <w:tcW w:w="1418" w:type="dxa"/>
            <w:vAlign w:val="center"/>
          </w:tcPr>
          <w:p w14:paraId="4E1F47C9" w14:textId="5FCDA5C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111BCE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0741A5E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47F048C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6.43.</w:t>
            </w:r>
          </w:p>
        </w:tc>
        <w:tc>
          <w:tcPr>
            <w:tcW w:w="5154" w:type="dxa"/>
            <w:vAlign w:val="center"/>
          </w:tcPr>
          <w:p w14:paraId="6824CC0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tworzenia notatek do badania, wraz z możliwością przeczytania ich przez innego lekarza</w:t>
            </w:r>
          </w:p>
        </w:tc>
        <w:tc>
          <w:tcPr>
            <w:tcW w:w="1418" w:type="dxa"/>
            <w:vAlign w:val="center"/>
          </w:tcPr>
          <w:p w14:paraId="66B47BFD" w14:textId="6F5DE762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505896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35EBF6C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7124509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6.44.</w:t>
            </w:r>
          </w:p>
        </w:tc>
        <w:tc>
          <w:tcPr>
            <w:tcW w:w="5154" w:type="dxa"/>
            <w:vAlign w:val="center"/>
          </w:tcPr>
          <w:p w14:paraId="1935169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Zarządzanie protokołami wyświetlanych obrazów na monitorach w powiązaniu z urządzeniami z możliwością zapisywania własnych protokołów wyświetlania</w:t>
            </w:r>
          </w:p>
        </w:tc>
        <w:tc>
          <w:tcPr>
            <w:tcW w:w="1418" w:type="dxa"/>
            <w:vAlign w:val="center"/>
          </w:tcPr>
          <w:p w14:paraId="24B04F09" w14:textId="008292DE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AD4DE3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69D70C4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4E2765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6.45.</w:t>
            </w:r>
          </w:p>
        </w:tc>
        <w:tc>
          <w:tcPr>
            <w:tcW w:w="5154" w:type="dxa"/>
            <w:vAlign w:val="center"/>
          </w:tcPr>
          <w:p w14:paraId="4EE2B4D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Funkcja dodawania w nowej serii badania obrazów przetworzonych przez aplikacje zewnętrzne</w:t>
            </w:r>
          </w:p>
        </w:tc>
        <w:tc>
          <w:tcPr>
            <w:tcW w:w="1418" w:type="dxa"/>
            <w:vAlign w:val="center"/>
          </w:tcPr>
          <w:p w14:paraId="6A4119CF" w14:textId="2C48F04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E881BC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1419B4B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00FBC4C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6.46.</w:t>
            </w:r>
          </w:p>
        </w:tc>
        <w:tc>
          <w:tcPr>
            <w:tcW w:w="5154" w:type="dxa"/>
            <w:vAlign w:val="center"/>
          </w:tcPr>
          <w:p w14:paraId="55B8DB4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wyłączenia (ukrycia) pasków narzędziowych na ekranach monitorów wyświetlających obrazy badań</w:t>
            </w:r>
          </w:p>
        </w:tc>
        <w:tc>
          <w:tcPr>
            <w:tcW w:w="1418" w:type="dxa"/>
            <w:vAlign w:val="center"/>
          </w:tcPr>
          <w:p w14:paraId="2FC0726F" w14:textId="0537361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4F2CA2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FA1A2A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CEF92B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6.47.</w:t>
            </w:r>
          </w:p>
        </w:tc>
        <w:tc>
          <w:tcPr>
            <w:tcW w:w="5154" w:type="dxa"/>
            <w:vAlign w:val="center"/>
          </w:tcPr>
          <w:p w14:paraId="0DDD5EA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tworzenia własnego skrótu do wybranego przycisku</w:t>
            </w:r>
          </w:p>
        </w:tc>
        <w:tc>
          <w:tcPr>
            <w:tcW w:w="1418" w:type="dxa"/>
            <w:vAlign w:val="center"/>
          </w:tcPr>
          <w:p w14:paraId="008558EF" w14:textId="3222718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6B16CA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CCB3392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6EA96A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6.48.</w:t>
            </w:r>
          </w:p>
        </w:tc>
        <w:tc>
          <w:tcPr>
            <w:tcW w:w="5154" w:type="dxa"/>
            <w:vAlign w:val="center"/>
          </w:tcPr>
          <w:p w14:paraId="50A392E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Funkcja menu podręcznego otwieranego jednym kliknięciem</w:t>
            </w:r>
          </w:p>
        </w:tc>
        <w:tc>
          <w:tcPr>
            <w:tcW w:w="1418" w:type="dxa"/>
            <w:vAlign w:val="center"/>
          </w:tcPr>
          <w:p w14:paraId="2E466EB2" w14:textId="6E69F21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F117BE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C0FFFC2" w14:textId="77777777" w:rsidTr="00183676">
        <w:trPr>
          <w:trHeight w:val="1260"/>
        </w:trPr>
        <w:tc>
          <w:tcPr>
            <w:tcW w:w="1220" w:type="dxa"/>
            <w:noWrap/>
            <w:vAlign w:val="bottom"/>
          </w:tcPr>
          <w:p w14:paraId="5A863C0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6.49.</w:t>
            </w:r>
          </w:p>
        </w:tc>
        <w:tc>
          <w:tcPr>
            <w:tcW w:w="5154" w:type="dxa"/>
            <w:vAlign w:val="center"/>
          </w:tcPr>
          <w:p w14:paraId="6AB9F07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Przeglądarka animacji, funkcje min.: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ustawienia prędkości animacji,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ustawienie przeglądania animacji w pętli,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zmiana kierunku animacji</w:t>
            </w:r>
          </w:p>
        </w:tc>
        <w:tc>
          <w:tcPr>
            <w:tcW w:w="1418" w:type="dxa"/>
            <w:vAlign w:val="center"/>
          </w:tcPr>
          <w:p w14:paraId="7A4C200F" w14:textId="78EF750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576DD2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3095046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1CD38B5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6.50.</w:t>
            </w:r>
          </w:p>
        </w:tc>
        <w:tc>
          <w:tcPr>
            <w:tcW w:w="5154" w:type="dxa"/>
            <w:vAlign w:val="center"/>
          </w:tcPr>
          <w:p w14:paraId="7A958EF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Funkcjonalność załadowania wszystkich serii jako jednej dla danego badania do jednego okna na ekranie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diagnostycznym</w:t>
            </w:r>
          </w:p>
        </w:tc>
        <w:tc>
          <w:tcPr>
            <w:tcW w:w="1418" w:type="dxa"/>
            <w:vAlign w:val="center"/>
          </w:tcPr>
          <w:p w14:paraId="5699F444" w14:textId="156997C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B3CB56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D7EC0C5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759451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6.51.</w:t>
            </w:r>
          </w:p>
        </w:tc>
        <w:tc>
          <w:tcPr>
            <w:tcW w:w="5154" w:type="dxa"/>
            <w:vAlign w:val="center"/>
          </w:tcPr>
          <w:p w14:paraId="66BCCEB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jednoczesnego przeglądania badań pobranych z różnych źródeł (PACS, płyta CD)</w:t>
            </w:r>
          </w:p>
        </w:tc>
        <w:tc>
          <w:tcPr>
            <w:tcW w:w="1418" w:type="dxa"/>
            <w:vAlign w:val="center"/>
          </w:tcPr>
          <w:p w14:paraId="7452F4E8" w14:textId="0EF0D8C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D8A4B7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98FEA79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2B60E8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6.52.</w:t>
            </w:r>
          </w:p>
        </w:tc>
        <w:tc>
          <w:tcPr>
            <w:tcW w:w="5154" w:type="dxa"/>
            <w:vAlign w:val="center"/>
          </w:tcPr>
          <w:p w14:paraId="4D58E78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Funkcja wyświetlenia/ukrycia danych demograficznych pacjenta za pomocą jednego kliknięcia</w:t>
            </w:r>
          </w:p>
        </w:tc>
        <w:tc>
          <w:tcPr>
            <w:tcW w:w="1418" w:type="dxa"/>
            <w:vAlign w:val="center"/>
          </w:tcPr>
          <w:p w14:paraId="66B7EC34" w14:textId="48BA280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8ED7AE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850CA4E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7122EA8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6.53.</w:t>
            </w:r>
          </w:p>
        </w:tc>
        <w:tc>
          <w:tcPr>
            <w:tcW w:w="5154" w:type="dxa"/>
            <w:vAlign w:val="center"/>
          </w:tcPr>
          <w:p w14:paraId="638C8E0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zapisania adnotacji i przetworzeń. Zapisane adnotacje muszą być widoczne w systemie dystrybucji obrazów</w:t>
            </w:r>
          </w:p>
        </w:tc>
        <w:tc>
          <w:tcPr>
            <w:tcW w:w="1418" w:type="dxa"/>
            <w:vAlign w:val="center"/>
          </w:tcPr>
          <w:p w14:paraId="22312039" w14:textId="289F9D6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1ADEC5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95731EC" w14:textId="77777777" w:rsidTr="00183676">
        <w:trPr>
          <w:trHeight w:val="1575"/>
        </w:trPr>
        <w:tc>
          <w:tcPr>
            <w:tcW w:w="1220" w:type="dxa"/>
            <w:noWrap/>
            <w:vAlign w:val="bottom"/>
          </w:tcPr>
          <w:p w14:paraId="6E6DE01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6.54.</w:t>
            </w:r>
          </w:p>
        </w:tc>
        <w:tc>
          <w:tcPr>
            <w:tcW w:w="5154" w:type="dxa"/>
            <w:vAlign w:val="center"/>
          </w:tcPr>
          <w:p w14:paraId="083B80D8" w14:textId="38F3A02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Funkcja wybierania zasięgu działania narzędzi modyfikujących postać obrazu badania – jasności/kontrastu, obrotów, powiększeń,</w:t>
            </w:r>
            <w:r w:rsidR="006F25C7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oraz inwersji obrazu, min. zakres: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wybrany obraz,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wybrana seria badania,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całe badanie.</w:t>
            </w:r>
          </w:p>
        </w:tc>
        <w:tc>
          <w:tcPr>
            <w:tcW w:w="1418" w:type="dxa"/>
            <w:vAlign w:val="center"/>
          </w:tcPr>
          <w:p w14:paraId="6DCA9CE2" w14:textId="0E65EC4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0F16FB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8887307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122E2E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6.55.</w:t>
            </w:r>
          </w:p>
        </w:tc>
        <w:tc>
          <w:tcPr>
            <w:tcW w:w="5154" w:type="dxa"/>
            <w:vAlign w:val="center"/>
          </w:tcPr>
          <w:p w14:paraId="7268A72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Funkcja wyświetlenia tagów DICOM i ich wartości dla wybranego obrazu badania</w:t>
            </w:r>
          </w:p>
        </w:tc>
        <w:tc>
          <w:tcPr>
            <w:tcW w:w="1418" w:type="dxa"/>
            <w:vAlign w:val="center"/>
          </w:tcPr>
          <w:p w14:paraId="33E0F263" w14:textId="77264FA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7BF7F6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DFE36FF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5B1CC1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</w:t>
            </w:r>
          </w:p>
        </w:tc>
        <w:tc>
          <w:tcPr>
            <w:tcW w:w="5154" w:type="dxa"/>
            <w:vAlign w:val="center"/>
          </w:tcPr>
          <w:p w14:paraId="20EFE541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>SYSTEM DYSTRYBUCJI OBRAZÓW - PRZEGLĄDARKA REFERENCYJNA</w:t>
            </w:r>
          </w:p>
        </w:tc>
        <w:tc>
          <w:tcPr>
            <w:tcW w:w="1418" w:type="dxa"/>
            <w:vAlign w:val="center"/>
          </w:tcPr>
          <w:p w14:paraId="2E3A9FF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1A18A1A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18DA872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5C90985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7.1.</w:t>
            </w:r>
          </w:p>
        </w:tc>
        <w:tc>
          <w:tcPr>
            <w:tcW w:w="5154" w:type="dxa"/>
            <w:vAlign w:val="center"/>
          </w:tcPr>
          <w:p w14:paraId="3232562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Licencja umożliwiająca dostęp do przeglądarki referencyjnej nieograniczonej liczbie jednoczesnych użytkowników (Unlimited License)</w:t>
            </w:r>
          </w:p>
        </w:tc>
        <w:tc>
          <w:tcPr>
            <w:tcW w:w="1418" w:type="dxa"/>
            <w:vAlign w:val="center"/>
          </w:tcPr>
          <w:p w14:paraId="501F96EB" w14:textId="13CAE78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6ED882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75E29C8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7283FA8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7.2.</w:t>
            </w:r>
          </w:p>
        </w:tc>
        <w:tc>
          <w:tcPr>
            <w:tcW w:w="5154" w:type="dxa"/>
            <w:vAlign w:val="center"/>
          </w:tcPr>
          <w:p w14:paraId="4C2FC49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Dostęp poprzez standardową przeglądarkę internetową – obsługa co najmniej MS Edge, Firefox, Chrome, Safari. System dystrybucji oparty o technologię WEB (HTML5), brak konieczności lokalnej instalacji jakichkolwiek dodatkowych komponentów.</w:t>
            </w:r>
          </w:p>
        </w:tc>
        <w:tc>
          <w:tcPr>
            <w:tcW w:w="1418" w:type="dxa"/>
            <w:vAlign w:val="center"/>
          </w:tcPr>
          <w:p w14:paraId="5F95DF3F" w14:textId="6A2002EC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3A2608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CCE2641" w14:textId="77777777" w:rsidTr="00183676">
        <w:trPr>
          <w:trHeight w:val="1260"/>
        </w:trPr>
        <w:tc>
          <w:tcPr>
            <w:tcW w:w="1220" w:type="dxa"/>
            <w:noWrap/>
            <w:vAlign w:val="bottom"/>
          </w:tcPr>
          <w:p w14:paraId="5275B87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7.3.</w:t>
            </w:r>
          </w:p>
        </w:tc>
        <w:tc>
          <w:tcPr>
            <w:tcW w:w="5154" w:type="dxa"/>
            <w:vAlign w:val="center"/>
          </w:tcPr>
          <w:p w14:paraId="0932B322" w14:textId="08C67A5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Wsparcie dla urządzeń mobilnych (tablet, smartfon) - system musi posiadać </w:t>
            </w:r>
            <w:r w:rsidR="006F25C7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specjalny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interfejs przeglądarki referencyjnej, dedykowany dla urządzeń </w:t>
            </w:r>
            <w:r w:rsidR="006F25C7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mobilnych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, ułatwiający obsługę na takich urządzeniach (co najmniej skalowanie interfejsu do rozdzielczości urządzenia, narzędzie do wykonywania i importowania zdjęć bezpośrednio z urządzenia mo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bilnego).</w:t>
            </w:r>
          </w:p>
        </w:tc>
        <w:tc>
          <w:tcPr>
            <w:tcW w:w="1418" w:type="dxa"/>
            <w:vAlign w:val="center"/>
          </w:tcPr>
          <w:p w14:paraId="790EC32A" w14:textId="5802184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6621BB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9D0FAC6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B9E5F3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7.4.</w:t>
            </w:r>
          </w:p>
        </w:tc>
        <w:tc>
          <w:tcPr>
            <w:tcW w:w="5154" w:type="dxa"/>
            <w:vAlign w:val="center"/>
          </w:tcPr>
          <w:p w14:paraId="15B84F8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Interfejs użytkownika w języku polskim</w:t>
            </w:r>
          </w:p>
        </w:tc>
        <w:tc>
          <w:tcPr>
            <w:tcW w:w="1418" w:type="dxa"/>
            <w:vAlign w:val="center"/>
          </w:tcPr>
          <w:p w14:paraId="5AD08407" w14:textId="636B6F5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C65D60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D6E52BA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131602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7.5.</w:t>
            </w:r>
          </w:p>
        </w:tc>
        <w:tc>
          <w:tcPr>
            <w:tcW w:w="5154" w:type="dxa"/>
            <w:vAlign w:val="center"/>
          </w:tcPr>
          <w:p w14:paraId="7E42E3C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Dostęp tylko po zalogowaniu użytkownika</w:t>
            </w:r>
          </w:p>
        </w:tc>
        <w:tc>
          <w:tcPr>
            <w:tcW w:w="1418" w:type="dxa"/>
            <w:vAlign w:val="center"/>
          </w:tcPr>
          <w:p w14:paraId="67283B4D" w14:textId="2B9BDC0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D77F13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0CB3D23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C6891C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7.6.</w:t>
            </w:r>
          </w:p>
        </w:tc>
        <w:tc>
          <w:tcPr>
            <w:tcW w:w="5154" w:type="dxa"/>
            <w:vAlign w:val="center"/>
          </w:tcPr>
          <w:p w14:paraId="72AE0BF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Wyszukiwanie, przeglądanie i porównywanie badań dostępne w jednej zakładce przeglądarki</w:t>
            </w:r>
          </w:p>
        </w:tc>
        <w:tc>
          <w:tcPr>
            <w:tcW w:w="1418" w:type="dxa"/>
            <w:vAlign w:val="center"/>
          </w:tcPr>
          <w:p w14:paraId="1A0EAA53" w14:textId="1555274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FA8FBA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05DF262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1FF5512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7.7.</w:t>
            </w:r>
          </w:p>
        </w:tc>
        <w:tc>
          <w:tcPr>
            <w:tcW w:w="5154" w:type="dxa"/>
            <w:vAlign w:val="center"/>
          </w:tcPr>
          <w:p w14:paraId="21369B5C" w14:textId="4150566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Wyszukiwanie i filtrowanie badań z wykorzystaniem co najmniej następujących kryteriów </w:t>
            </w:r>
            <w:r w:rsidR="006F25C7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wyszukiwania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: imię i nazwisko pacjenta, ID pacjenta, data badania, rodzaj badania</w:t>
            </w:r>
          </w:p>
        </w:tc>
        <w:tc>
          <w:tcPr>
            <w:tcW w:w="1418" w:type="dxa"/>
            <w:vAlign w:val="center"/>
          </w:tcPr>
          <w:p w14:paraId="46F2E4A0" w14:textId="4858724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F399D8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729750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F284A1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7.8.</w:t>
            </w:r>
          </w:p>
        </w:tc>
        <w:tc>
          <w:tcPr>
            <w:tcW w:w="5154" w:type="dxa"/>
            <w:vAlign w:val="center"/>
          </w:tcPr>
          <w:p w14:paraId="47AECF1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Wyświetlanie wszystkich poprzednich badań pacjenta dostępnych w systemie PACS</w:t>
            </w:r>
          </w:p>
        </w:tc>
        <w:tc>
          <w:tcPr>
            <w:tcW w:w="1418" w:type="dxa"/>
            <w:vAlign w:val="center"/>
          </w:tcPr>
          <w:p w14:paraId="184C4A1A" w14:textId="0425282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1C3949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1333E45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5C7C2CA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7.9.</w:t>
            </w:r>
          </w:p>
        </w:tc>
        <w:tc>
          <w:tcPr>
            <w:tcW w:w="5154" w:type="dxa"/>
            <w:vAlign w:val="center"/>
          </w:tcPr>
          <w:p w14:paraId="22CA77C3" w14:textId="420FEF2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Narzędzia obróbki obrazu – płynne powiększanie, przesuwanie, regulacja poziomu okna (Window/Level), predefiniowane ustawienia okien, inwersja obrazu, odbicie obrazu, obrót obrazu</w:t>
            </w:r>
          </w:p>
        </w:tc>
        <w:tc>
          <w:tcPr>
            <w:tcW w:w="1418" w:type="dxa"/>
            <w:vAlign w:val="center"/>
          </w:tcPr>
          <w:p w14:paraId="4C612CEF" w14:textId="2081F42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705B66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8220F49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5E8C76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7.10.</w:t>
            </w:r>
          </w:p>
        </w:tc>
        <w:tc>
          <w:tcPr>
            <w:tcW w:w="5154" w:type="dxa"/>
            <w:vAlign w:val="center"/>
          </w:tcPr>
          <w:p w14:paraId="2E36178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Funkcja predefiniowanych poziomów okna min. 8 dla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badań CT i min. 4 dla badań MR</w:t>
            </w:r>
          </w:p>
        </w:tc>
        <w:tc>
          <w:tcPr>
            <w:tcW w:w="1418" w:type="dxa"/>
            <w:vAlign w:val="center"/>
          </w:tcPr>
          <w:p w14:paraId="6C3070F9" w14:textId="348128EE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96AFAB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0351C8D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0DB1293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7.11.</w:t>
            </w:r>
          </w:p>
        </w:tc>
        <w:tc>
          <w:tcPr>
            <w:tcW w:w="5154" w:type="dxa"/>
            <w:vAlign w:val="center"/>
          </w:tcPr>
          <w:p w14:paraId="608686E1" w14:textId="7857AD4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Narzędzia pomiarowe – pomiar odległości, pomiar kąta, kąt Cobb’a, pomiar piksela pomiary obszaru zainteresowania ROI w kształcie koła i elipsy co najmniej: pole powierzchni, średnia wartość piksela, odchylenie standardowe, zakres wartości pikseli, promień</w:t>
            </w:r>
          </w:p>
        </w:tc>
        <w:tc>
          <w:tcPr>
            <w:tcW w:w="1418" w:type="dxa"/>
            <w:vAlign w:val="center"/>
          </w:tcPr>
          <w:p w14:paraId="23F16186" w14:textId="5A0C105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E3707D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D57BD74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3095057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7.12.</w:t>
            </w:r>
          </w:p>
        </w:tc>
        <w:tc>
          <w:tcPr>
            <w:tcW w:w="5154" w:type="dxa"/>
            <w:vAlign w:val="center"/>
          </w:tcPr>
          <w:p w14:paraId="60009C6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Dodawanie adnotacji do obrazu w postaci tekstowej</w:t>
            </w:r>
          </w:p>
        </w:tc>
        <w:tc>
          <w:tcPr>
            <w:tcW w:w="1418" w:type="dxa"/>
            <w:vAlign w:val="center"/>
          </w:tcPr>
          <w:p w14:paraId="127DB96C" w14:textId="1BDBF0A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C3F241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5CEE9E0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A0BC8C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7.13.</w:t>
            </w:r>
          </w:p>
        </w:tc>
        <w:tc>
          <w:tcPr>
            <w:tcW w:w="5154" w:type="dxa"/>
            <w:vAlign w:val="center"/>
          </w:tcPr>
          <w:p w14:paraId="4123737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Wyświetlanie linii referencyjnych pomiędzy różnymi seriami tego samego badania</w:t>
            </w:r>
          </w:p>
        </w:tc>
        <w:tc>
          <w:tcPr>
            <w:tcW w:w="1418" w:type="dxa"/>
            <w:vAlign w:val="center"/>
          </w:tcPr>
          <w:p w14:paraId="08121E10" w14:textId="5FAC646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A18004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116D87B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DEF008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7.14.</w:t>
            </w:r>
          </w:p>
        </w:tc>
        <w:tc>
          <w:tcPr>
            <w:tcW w:w="5154" w:type="dxa"/>
            <w:vAlign w:val="center"/>
          </w:tcPr>
          <w:p w14:paraId="44F51AAE" w14:textId="569F300B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Narzędzie do porównywania dwóch serii z </w:t>
            </w:r>
            <w:r w:rsidR="006F25C7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możliwością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synchronizacji</w:t>
            </w:r>
          </w:p>
        </w:tc>
        <w:tc>
          <w:tcPr>
            <w:tcW w:w="1418" w:type="dxa"/>
            <w:vAlign w:val="center"/>
          </w:tcPr>
          <w:p w14:paraId="0A0D6FEA" w14:textId="73958C0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08B0A4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1A4F82B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47BBC7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7.15.</w:t>
            </w:r>
          </w:p>
        </w:tc>
        <w:tc>
          <w:tcPr>
            <w:tcW w:w="5154" w:type="dxa"/>
            <w:vAlign w:val="center"/>
          </w:tcPr>
          <w:p w14:paraId="29FA6D5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Tryb Cine</w:t>
            </w:r>
          </w:p>
        </w:tc>
        <w:tc>
          <w:tcPr>
            <w:tcW w:w="1418" w:type="dxa"/>
            <w:vAlign w:val="center"/>
          </w:tcPr>
          <w:p w14:paraId="07414DFE" w14:textId="4B2AC27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F59C34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F609BC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0D17C3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7.16.</w:t>
            </w:r>
          </w:p>
        </w:tc>
        <w:tc>
          <w:tcPr>
            <w:tcW w:w="5154" w:type="dxa"/>
            <w:vAlign w:val="center"/>
          </w:tcPr>
          <w:p w14:paraId="4F960CD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Przeglądanie badań w trybie pełnoekranowym</w:t>
            </w:r>
          </w:p>
        </w:tc>
        <w:tc>
          <w:tcPr>
            <w:tcW w:w="1418" w:type="dxa"/>
            <w:vAlign w:val="center"/>
          </w:tcPr>
          <w:p w14:paraId="4A784271" w14:textId="4274015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299BFD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9D5B86E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845F06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7.17.</w:t>
            </w:r>
          </w:p>
        </w:tc>
        <w:tc>
          <w:tcPr>
            <w:tcW w:w="5154" w:type="dxa"/>
            <w:vAlign w:val="center"/>
          </w:tcPr>
          <w:p w14:paraId="4E2368B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Możliwość wyboru dowolnej serii w trakcie przeglądania</w:t>
            </w:r>
          </w:p>
        </w:tc>
        <w:tc>
          <w:tcPr>
            <w:tcW w:w="1418" w:type="dxa"/>
            <w:vAlign w:val="center"/>
          </w:tcPr>
          <w:p w14:paraId="3F762102" w14:textId="776333F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1DD175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F6FF83A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7111A8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7.18.</w:t>
            </w:r>
          </w:p>
        </w:tc>
        <w:tc>
          <w:tcPr>
            <w:tcW w:w="5154" w:type="dxa"/>
            <w:vAlign w:val="center"/>
          </w:tcPr>
          <w:p w14:paraId="1634246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Możliwość wydruku opisu badania w dowolnym momencie przeglądania</w:t>
            </w:r>
          </w:p>
        </w:tc>
        <w:tc>
          <w:tcPr>
            <w:tcW w:w="1418" w:type="dxa"/>
            <w:vAlign w:val="center"/>
          </w:tcPr>
          <w:p w14:paraId="69648DEE" w14:textId="33CDD67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1A5C47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B9A23BF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6592BCD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7.19.</w:t>
            </w:r>
          </w:p>
        </w:tc>
        <w:tc>
          <w:tcPr>
            <w:tcW w:w="5154" w:type="dxa"/>
            <w:vAlign w:val="center"/>
          </w:tcPr>
          <w:p w14:paraId="4963299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Rejestracja (łączenie) dwóch różnych serii z dwóch różnych badań danego pacjenta w celu jednoczesnego ich przeglądania</w:t>
            </w:r>
          </w:p>
        </w:tc>
        <w:tc>
          <w:tcPr>
            <w:tcW w:w="1418" w:type="dxa"/>
            <w:vAlign w:val="center"/>
          </w:tcPr>
          <w:p w14:paraId="7C3E98FB" w14:textId="7AA9423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87FD85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F141ABF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35A101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7.20.</w:t>
            </w:r>
          </w:p>
        </w:tc>
        <w:tc>
          <w:tcPr>
            <w:tcW w:w="5154" w:type="dxa"/>
            <w:vAlign w:val="center"/>
          </w:tcPr>
          <w:p w14:paraId="4127CA3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Funkcja wymuszenia wyświetlania obrazów w trybie bezstratnym</w:t>
            </w:r>
          </w:p>
        </w:tc>
        <w:tc>
          <w:tcPr>
            <w:tcW w:w="1418" w:type="dxa"/>
            <w:vAlign w:val="center"/>
          </w:tcPr>
          <w:p w14:paraId="2E85C952" w14:textId="4A5DE72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D8915B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0056323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715313D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7.21.</w:t>
            </w:r>
          </w:p>
        </w:tc>
        <w:tc>
          <w:tcPr>
            <w:tcW w:w="5154" w:type="dxa"/>
            <w:vAlign w:val="center"/>
          </w:tcPr>
          <w:p w14:paraId="1B2CDBB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Możliwość zapisania bieżącego obrazu w lokalnym archiwum. Zapisane obrazy zachowują charakterystykę wyświetlania (np. powiększenie, poziomy okna), adnotacji i pomiary. Zapis nie nadpisuje oryginalnego obrazu</w:t>
            </w:r>
          </w:p>
        </w:tc>
        <w:tc>
          <w:tcPr>
            <w:tcW w:w="1418" w:type="dxa"/>
            <w:vAlign w:val="center"/>
          </w:tcPr>
          <w:p w14:paraId="22F6201A" w14:textId="0F7AE0B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73A3B6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5A97C8A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9B9209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7.22.</w:t>
            </w:r>
          </w:p>
        </w:tc>
        <w:tc>
          <w:tcPr>
            <w:tcW w:w="5154" w:type="dxa"/>
            <w:vAlign w:val="center"/>
          </w:tcPr>
          <w:p w14:paraId="6E230F0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Narzędzie do przeglądania badań EKG z dedykowanymi narzędziami do analizy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przebiegów EKG</w:t>
            </w:r>
          </w:p>
        </w:tc>
        <w:tc>
          <w:tcPr>
            <w:tcW w:w="1418" w:type="dxa"/>
            <w:vAlign w:val="center"/>
          </w:tcPr>
          <w:p w14:paraId="52053E4A" w14:textId="780AF8B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E336B5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51AEFD7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521B79B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7.23.</w:t>
            </w:r>
          </w:p>
        </w:tc>
        <w:tc>
          <w:tcPr>
            <w:tcW w:w="5154" w:type="dxa"/>
            <w:vAlign w:val="center"/>
          </w:tcPr>
          <w:p w14:paraId="031A766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Funkcja Chat z możliwością współdzielenia ekranu z innym użytkownikiem w celu konsultacji badań oraz funkcją udostępniania linków do badań innym użytkownikom</w:t>
            </w:r>
          </w:p>
        </w:tc>
        <w:tc>
          <w:tcPr>
            <w:tcW w:w="1418" w:type="dxa"/>
            <w:vAlign w:val="center"/>
          </w:tcPr>
          <w:p w14:paraId="293CCAA6" w14:textId="57F4351C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C37008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591EEE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56FCD9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7.24.</w:t>
            </w:r>
          </w:p>
        </w:tc>
        <w:tc>
          <w:tcPr>
            <w:tcW w:w="5154" w:type="dxa"/>
            <w:vAlign w:val="center"/>
          </w:tcPr>
          <w:p w14:paraId="5D2E11E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Narzędzie do zapisywania pojedynczych obrazów DICOM lub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lastRenderedPageBreak/>
              <w:t>całego badania na lokalnym komputerze</w:t>
            </w:r>
          </w:p>
        </w:tc>
        <w:tc>
          <w:tcPr>
            <w:tcW w:w="1418" w:type="dxa"/>
            <w:vAlign w:val="center"/>
          </w:tcPr>
          <w:p w14:paraId="4B72EB25" w14:textId="4EA648A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T</w:t>
            </w:r>
            <w:r w:rsidR="006A5303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2B3C4C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5D4F45C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1A87B6A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7.25.</w:t>
            </w:r>
          </w:p>
        </w:tc>
        <w:tc>
          <w:tcPr>
            <w:tcW w:w="5154" w:type="dxa"/>
            <w:vAlign w:val="center"/>
          </w:tcPr>
          <w:p w14:paraId="6376826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Aplikacja do rekonstrukcji 3D badań CT i MR dostępna w systemie dystrybucji obrazów, poprzez przeglądarkę internetową. Dostępne tryby MPR, MipPR, MinPR, 3D oraz predefiniowane protokoły wyświetlania zrekonstruowanych badań dla różnego typu badań.</w:t>
            </w:r>
          </w:p>
        </w:tc>
        <w:tc>
          <w:tcPr>
            <w:tcW w:w="1418" w:type="dxa"/>
            <w:vAlign w:val="center"/>
          </w:tcPr>
          <w:p w14:paraId="54766910" w14:textId="66B3AD5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DA9600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2E4E2DA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5AF39C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</w:t>
            </w:r>
          </w:p>
        </w:tc>
        <w:tc>
          <w:tcPr>
            <w:tcW w:w="5154" w:type="dxa"/>
            <w:vAlign w:val="center"/>
          </w:tcPr>
          <w:p w14:paraId="7E483E49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>MODUŁ OPISOWY DO TWORZENIA OPISÓW BADAŃ</w:t>
            </w:r>
          </w:p>
        </w:tc>
        <w:tc>
          <w:tcPr>
            <w:tcW w:w="1418" w:type="dxa"/>
            <w:vAlign w:val="center"/>
          </w:tcPr>
          <w:p w14:paraId="348A832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40D6937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71EDF68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21DF80C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8.1.</w:t>
            </w:r>
          </w:p>
        </w:tc>
        <w:tc>
          <w:tcPr>
            <w:tcW w:w="5154" w:type="dxa"/>
            <w:vAlign w:val="center"/>
          </w:tcPr>
          <w:p w14:paraId="165BA23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Moduł opisowy musi być integralną częścią klienta diagnostycznego systemu PACS, posiadać zunifikowany z nim interfejs i umożliwiać wykonywanie opisów badań zgromadzonych w systemie PACS. </w:t>
            </w:r>
          </w:p>
        </w:tc>
        <w:tc>
          <w:tcPr>
            <w:tcW w:w="1418" w:type="dxa"/>
            <w:vAlign w:val="center"/>
          </w:tcPr>
          <w:p w14:paraId="546A0B1D" w14:textId="160F030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339452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D5131B8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066D646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8.2.</w:t>
            </w:r>
          </w:p>
        </w:tc>
        <w:tc>
          <w:tcPr>
            <w:tcW w:w="5154" w:type="dxa"/>
            <w:vAlign w:val="center"/>
          </w:tcPr>
          <w:p w14:paraId="2DB0FF03" w14:textId="3402F92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tworzenia szablonów opisów. Szablony przypisywane są do poszczególnych części ciała jak i do typu badania (modalności).</w:t>
            </w:r>
          </w:p>
        </w:tc>
        <w:tc>
          <w:tcPr>
            <w:tcW w:w="1418" w:type="dxa"/>
            <w:vAlign w:val="center"/>
          </w:tcPr>
          <w:p w14:paraId="7A33CFC8" w14:textId="58F51F5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0B7269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B5EC8D2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EED542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8.3.</w:t>
            </w:r>
          </w:p>
        </w:tc>
        <w:tc>
          <w:tcPr>
            <w:tcW w:w="5154" w:type="dxa"/>
            <w:vAlign w:val="center"/>
          </w:tcPr>
          <w:p w14:paraId="61C1729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tworzenia graficznych szablonów widoków raportów radiologicznych</w:t>
            </w:r>
          </w:p>
        </w:tc>
        <w:tc>
          <w:tcPr>
            <w:tcW w:w="1418" w:type="dxa"/>
            <w:vAlign w:val="center"/>
          </w:tcPr>
          <w:p w14:paraId="55560DAE" w14:textId="4EC0B5C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157AB9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AA0150B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E4B21F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8.4.</w:t>
            </w:r>
          </w:p>
        </w:tc>
        <w:tc>
          <w:tcPr>
            <w:tcW w:w="5154" w:type="dxa"/>
            <w:vAlign w:val="center"/>
          </w:tcPr>
          <w:p w14:paraId="2363D0F0" w14:textId="711C2660" w:rsidR="009F2D48" w:rsidRPr="00A438A6" w:rsidRDefault="006F25C7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</w:t>
            </w:r>
            <w:r w:rsidR="009F2D48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przesyłania gotowego opisu do systemu HIS/RIS poprzez protokół HL7</w:t>
            </w:r>
          </w:p>
        </w:tc>
        <w:tc>
          <w:tcPr>
            <w:tcW w:w="1418" w:type="dxa"/>
            <w:vAlign w:val="center"/>
          </w:tcPr>
          <w:p w14:paraId="47533B90" w14:textId="520A9DA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F20DBE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69A8E80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A53F35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8.5.</w:t>
            </w:r>
          </w:p>
        </w:tc>
        <w:tc>
          <w:tcPr>
            <w:tcW w:w="5154" w:type="dxa"/>
            <w:vAlign w:val="center"/>
          </w:tcPr>
          <w:p w14:paraId="41ABB1EA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 przypadku konieczności dokonania zmian w gotowym opisie system musi mieć możliwość tworzenia dodatku do opisu bez zmiany opisu już wcześniej zatwierdzonego.</w:t>
            </w:r>
          </w:p>
        </w:tc>
        <w:tc>
          <w:tcPr>
            <w:tcW w:w="1418" w:type="dxa"/>
            <w:vAlign w:val="center"/>
          </w:tcPr>
          <w:p w14:paraId="72D53F43" w14:textId="7C502F3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9E8E4B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88D0313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2259BED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8.6.</w:t>
            </w:r>
          </w:p>
        </w:tc>
        <w:tc>
          <w:tcPr>
            <w:tcW w:w="5154" w:type="dxa"/>
            <w:vAlign w:val="center"/>
          </w:tcPr>
          <w:p w14:paraId="67FBC93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tworzenia szablonów widoków dodatków do raportów radiologicznych</w:t>
            </w:r>
          </w:p>
        </w:tc>
        <w:tc>
          <w:tcPr>
            <w:tcW w:w="1418" w:type="dxa"/>
            <w:vAlign w:val="center"/>
          </w:tcPr>
          <w:p w14:paraId="41637E9A" w14:textId="2B305FB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20FCAD3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ADED947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74BBB44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8.7.</w:t>
            </w:r>
          </w:p>
        </w:tc>
        <w:tc>
          <w:tcPr>
            <w:tcW w:w="5154" w:type="dxa"/>
            <w:vAlign w:val="center"/>
          </w:tcPr>
          <w:p w14:paraId="600134A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tworzenia dynamicznych raportów (tworzenie hyperlinków do wcześniej zaznaczonych interesujących obszarów badania). Kliknięcie w hyperlink w gotowym opisie musi automatycznie wyświetlić wskazywany obszar badania</w:t>
            </w:r>
          </w:p>
        </w:tc>
        <w:tc>
          <w:tcPr>
            <w:tcW w:w="1418" w:type="dxa"/>
            <w:vAlign w:val="center"/>
          </w:tcPr>
          <w:p w14:paraId="294EEC53" w14:textId="2664E3B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3CD025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5B4367B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524282A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8.8.</w:t>
            </w:r>
          </w:p>
        </w:tc>
        <w:tc>
          <w:tcPr>
            <w:tcW w:w="5154" w:type="dxa"/>
            <w:vAlign w:val="center"/>
          </w:tcPr>
          <w:p w14:paraId="5C9B6FA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dołączania do opisu obrazów kluczowych</w:t>
            </w:r>
          </w:p>
        </w:tc>
        <w:tc>
          <w:tcPr>
            <w:tcW w:w="1418" w:type="dxa"/>
            <w:vAlign w:val="center"/>
          </w:tcPr>
          <w:p w14:paraId="52162BFC" w14:textId="078120AE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7A23AB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B61DA85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4D9AF40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8.9.</w:t>
            </w:r>
          </w:p>
        </w:tc>
        <w:tc>
          <w:tcPr>
            <w:tcW w:w="5154" w:type="dxa"/>
            <w:vAlign w:val="center"/>
          </w:tcPr>
          <w:p w14:paraId="4C8FDD1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Funkcjonalność dołączenia do opisu innych raportów stworzonych w aplikacji diagnostycznej systemu PACS 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(np. raportu obszarów zainteresowania)</w:t>
            </w:r>
          </w:p>
        </w:tc>
        <w:tc>
          <w:tcPr>
            <w:tcW w:w="1418" w:type="dxa"/>
            <w:vAlign w:val="center"/>
          </w:tcPr>
          <w:p w14:paraId="4620EE67" w14:textId="7FCF58F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866D0B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B0F110C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1408D24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8.10.</w:t>
            </w:r>
          </w:p>
        </w:tc>
        <w:tc>
          <w:tcPr>
            <w:tcW w:w="5154" w:type="dxa"/>
            <w:vAlign w:val="center"/>
          </w:tcPr>
          <w:p w14:paraId="3178670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tworzenia tabel oraz elementów graficznych (np. plików jpg) w szablonach jak i widokach opisów</w:t>
            </w:r>
          </w:p>
        </w:tc>
        <w:tc>
          <w:tcPr>
            <w:tcW w:w="1418" w:type="dxa"/>
            <w:vAlign w:val="center"/>
          </w:tcPr>
          <w:p w14:paraId="73147072" w14:textId="5095374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22AB28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15EE349B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C0DE1E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8.11.</w:t>
            </w:r>
          </w:p>
        </w:tc>
        <w:tc>
          <w:tcPr>
            <w:tcW w:w="5154" w:type="dxa"/>
            <w:vAlign w:val="center"/>
          </w:tcPr>
          <w:p w14:paraId="7B9F83E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importu szablonów jak i widoków opisów z popularnych formatów tekstowych min. doc, docx, txt</w:t>
            </w:r>
          </w:p>
        </w:tc>
        <w:tc>
          <w:tcPr>
            <w:tcW w:w="1418" w:type="dxa"/>
            <w:vAlign w:val="center"/>
          </w:tcPr>
          <w:p w14:paraId="3194F95C" w14:textId="07766B2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B2F056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D84AFDE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6E64D40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8.12.</w:t>
            </w:r>
          </w:p>
        </w:tc>
        <w:tc>
          <w:tcPr>
            <w:tcW w:w="5154" w:type="dxa"/>
            <w:vAlign w:val="center"/>
          </w:tcPr>
          <w:p w14:paraId="2D2719D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ustawienia flagi o krytycznych wynikach badania</w:t>
            </w:r>
          </w:p>
        </w:tc>
        <w:tc>
          <w:tcPr>
            <w:tcW w:w="1418" w:type="dxa"/>
            <w:vAlign w:val="center"/>
          </w:tcPr>
          <w:p w14:paraId="50161169" w14:textId="64F947C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79A6C29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7B0C952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365B9F5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8.13.</w:t>
            </w:r>
          </w:p>
        </w:tc>
        <w:tc>
          <w:tcPr>
            <w:tcW w:w="5154" w:type="dxa"/>
            <w:vAlign w:val="center"/>
          </w:tcPr>
          <w:p w14:paraId="73FD396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Funkcjonalność tworzenia widoku raportu z możliwością wstawienia informacji o szpitalu czy też loga jednostki. W przypadku zdefiniowania kilku jednostek w systemie każda jednostka może mieć swój własny widok raportu.</w:t>
            </w:r>
          </w:p>
        </w:tc>
        <w:tc>
          <w:tcPr>
            <w:tcW w:w="1418" w:type="dxa"/>
            <w:vAlign w:val="center"/>
          </w:tcPr>
          <w:p w14:paraId="548F177A" w14:textId="4A4469C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0848A0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2B58BC3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64283C4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8.14.</w:t>
            </w:r>
          </w:p>
        </w:tc>
        <w:tc>
          <w:tcPr>
            <w:tcW w:w="5154" w:type="dxa"/>
            <w:vAlign w:val="center"/>
          </w:tcPr>
          <w:p w14:paraId="769C984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Moduł opisowy musi mieć możliwość skonfigurowania automatycznego dodawania pieczątki z podpisem (faksymile) lekarza opisującego</w:t>
            </w:r>
          </w:p>
        </w:tc>
        <w:tc>
          <w:tcPr>
            <w:tcW w:w="1418" w:type="dxa"/>
            <w:vAlign w:val="center"/>
          </w:tcPr>
          <w:p w14:paraId="708AAFA3" w14:textId="285F5851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380E3F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4F30AFB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9BF914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</w:t>
            </w:r>
          </w:p>
        </w:tc>
        <w:tc>
          <w:tcPr>
            <w:tcW w:w="5154" w:type="dxa"/>
            <w:vAlign w:val="center"/>
          </w:tcPr>
          <w:p w14:paraId="65363287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PORTAL PACJENTA</w:t>
            </w:r>
          </w:p>
        </w:tc>
        <w:tc>
          <w:tcPr>
            <w:tcW w:w="1418" w:type="dxa"/>
            <w:vAlign w:val="center"/>
          </w:tcPr>
          <w:p w14:paraId="6B3D530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2AA772F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DD5AB92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2AF92C6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9.1.</w:t>
            </w:r>
          </w:p>
        </w:tc>
        <w:tc>
          <w:tcPr>
            <w:tcW w:w="5154" w:type="dxa"/>
            <w:vAlign w:val="center"/>
          </w:tcPr>
          <w:p w14:paraId="342A4B8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Udostępnianie wyników badań pacjentom – po przekazaniu adresu email pacjent otrzymuje wiadomość z linkiem do badania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 wraz z jego opisem</w:t>
            </w:r>
          </w:p>
        </w:tc>
        <w:tc>
          <w:tcPr>
            <w:tcW w:w="1418" w:type="dxa"/>
            <w:vAlign w:val="center"/>
          </w:tcPr>
          <w:p w14:paraId="559F8202" w14:textId="6CCBD49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34B6103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676C755" w14:textId="77777777" w:rsidTr="00183676">
        <w:trPr>
          <w:trHeight w:val="945"/>
        </w:trPr>
        <w:tc>
          <w:tcPr>
            <w:tcW w:w="1220" w:type="dxa"/>
            <w:noWrap/>
            <w:vAlign w:val="bottom"/>
          </w:tcPr>
          <w:p w14:paraId="6923E71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9.2.</w:t>
            </w:r>
          </w:p>
        </w:tc>
        <w:tc>
          <w:tcPr>
            <w:tcW w:w="5154" w:type="dxa"/>
            <w:vAlign w:val="center"/>
          </w:tcPr>
          <w:p w14:paraId="216447A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Dostęp do badań poprzez standardową przeglądarkę internetową – obsługa co najmniej MS Edge, Firefox, Chrome, Safari. Brak konieczności lokalnej instalacji jakichkolwiek dodatkowych komponentów.</w:t>
            </w:r>
          </w:p>
        </w:tc>
        <w:tc>
          <w:tcPr>
            <w:tcW w:w="1418" w:type="dxa"/>
            <w:vAlign w:val="center"/>
          </w:tcPr>
          <w:p w14:paraId="1F1D884B" w14:textId="62A7BBC2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B0268A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384E336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05C9E5D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9.3.</w:t>
            </w:r>
          </w:p>
        </w:tc>
        <w:tc>
          <w:tcPr>
            <w:tcW w:w="5154" w:type="dxa"/>
            <w:vAlign w:val="center"/>
          </w:tcPr>
          <w:p w14:paraId="2D833A6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 xml:space="preserve">Wsparcie dla 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urządzeń mobilnych (tablet, smartfon)</w:t>
            </w:r>
          </w:p>
        </w:tc>
        <w:tc>
          <w:tcPr>
            <w:tcW w:w="1418" w:type="dxa"/>
            <w:vAlign w:val="center"/>
          </w:tcPr>
          <w:p w14:paraId="1E645E55" w14:textId="57DAFB1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B839F5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8D7B9AC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2C0D6C3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9.4.</w:t>
            </w:r>
          </w:p>
        </w:tc>
        <w:tc>
          <w:tcPr>
            <w:tcW w:w="5154" w:type="dxa"/>
            <w:vAlign w:val="center"/>
          </w:tcPr>
          <w:p w14:paraId="19FCDBB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Autoryzacja użytkownika przy pomocy weryfikacji dwuetapowej (2FA) z obsługą kodów OTP (One Time Password)</w:t>
            </w:r>
          </w:p>
        </w:tc>
        <w:tc>
          <w:tcPr>
            <w:tcW w:w="1418" w:type="dxa"/>
            <w:vAlign w:val="center"/>
          </w:tcPr>
          <w:p w14:paraId="1485A046" w14:textId="06DF4D44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562580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964BD94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56FAA6A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9.5.</w:t>
            </w:r>
          </w:p>
        </w:tc>
        <w:tc>
          <w:tcPr>
            <w:tcW w:w="5154" w:type="dxa"/>
            <w:vAlign w:val="center"/>
          </w:tcPr>
          <w:p w14:paraId="68D7D36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Narzędzia obróbki obrazu – powiększanie, przesuwanie, regulacja poziomu okna (Window</w:t>
            </w:r>
            <w:r w:rsidRPr="00A438A6">
              <w:rPr>
                <w:rFonts w:cs="Calibri"/>
                <w:sz w:val="20"/>
                <w:szCs w:val="20"/>
                <w:lang w:eastAsia="pl-PL"/>
              </w:rPr>
              <w:t>/Level), odbicie obrazu, obrót obrazu</w:t>
            </w:r>
          </w:p>
        </w:tc>
        <w:tc>
          <w:tcPr>
            <w:tcW w:w="1418" w:type="dxa"/>
            <w:vAlign w:val="center"/>
          </w:tcPr>
          <w:p w14:paraId="3AD5A029" w14:textId="3FA3EE1D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06E0FE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1B8FDCE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8C9942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9.6.</w:t>
            </w:r>
          </w:p>
        </w:tc>
        <w:tc>
          <w:tcPr>
            <w:tcW w:w="5154" w:type="dxa"/>
            <w:vAlign w:val="center"/>
          </w:tcPr>
          <w:p w14:paraId="6844AD1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Narzędzia pomiarowe – pomiar długości, kąt Cobb’a, pomiar obszaru zainteresowania</w:t>
            </w:r>
          </w:p>
        </w:tc>
        <w:tc>
          <w:tcPr>
            <w:tcW w:w="1418" w:type="dxa"/>
            <w:vAlign w:val="center"/>
          </w:tcPr>
          <w:p w14:paraId="2DB27746" w14:textId="0EF2A22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3296795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3402D4A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0ED987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9.7.</w:t>
            </w:r>
          </w:p>
        </w:tc>
        <w:tc>
          <w:tcPr>
            <w:tcW w:w="5154" w:type="dxa"/>
            <w:vAlign w:val="center"/>
          </w:tcPr>
          <w:p w14:paraId="75FEAB6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Narzędzie do zapisywania pojedynczych obrazów DICOM lub całego badania na lokalnym komputerze</w:t>
            </w:r>
          </w:p>
        </w:tc>
        <w:tc>
          <w:tcPr>
            <w:tcW w:w="1418" w:type="dxa"/>
            <w:vAlign w:val="center"/>
          </w:tcPr>
          <w:p w14:paraId="46035627" w14:textId="0D43A749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90D033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6EE23FFB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60165C74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9.8.</w:t>
            </w:r>
          </w:p>
        </w:tc>
        <w:tc>
          <w:tcPr>
            <w:tcW w:w="5154" w:type="dxa"/>
            <w:vAlign w:val="center"/>
          </w:tcPr>
          <w:p w14:paraId="54E5AF8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Udostępnianie badań innym użytkownikom przy pomocy linku do badania wysyłanego na wskazany adres email</w:t>
            </w:r>
          </w:p>
        </w:tc>
        <w:tc>
          <w:tcPr>
            <w:tcW w:w="1418" w:type="dxa"/>
            <w:vAlign w:val="center"/>
          </w:tcPr>
          <w:p w14:paraId="0A8C6CCC" w14:textId="77754B52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83686E8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126928" w:rsidRPr="00A438A6" w14:paraId="78D28F33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698EEDFF" w14:textId="75A5253E" w:rsidR="00126928" w:rsidRPr="00CC04DF" w:rsidRDefault="00D66D7E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 xml:space="preserve"> </w:t>
            </w:r>
            <w:r w:rsidR="00CC04DF" w:rsidRPr="00CC04DF">
              <w:rPr>
                <w:rFonts w:cs="Calibri"/>
                <w:sz w:val="20"/>
                <w:szCs w:val="20"/>
                <w:lang w:eastAsia="pl-PL"/>
              </w:rPr>
              <w:t>9.9.</w:t>
            </w:r>
          </w:p>
        </w:tc>
        <w:tc>
          <w:tcPr>
            <w:tcW w:w="5154" w:type="dxa"/>
            <w:vAlign w:val="center"/>
          </w:tcPr>
          <w:p w14:paraId="2B4D2D86" w14:textId="7FB6D553" w:rsidR="00126928" w:rsidRPr="00CC04DF" w:rsidRDefault="00CC04DF" w:rsidP="00121E33">
            <w:pPr>
              <w:spacing w:line="240" w:lineRule="auto"/>
              <w:rPr>
                <w:rFonts w:ascii="Aptos CE" w:hAnsi="Aptos CE" w:cs="Calibri"/>
                <w:sz w:val="20"/>
                <w:szCs w:val="20"/>
                <w:lang w:eastAsia="pl-PL"/>
              </w:rPr>
            </w:pPr>
            <w:r w:rsidRPr="00CC04DF">
              <w:rPr>
                <w:rFonts w:ascii="Aptos CE" w:hAnsi="Aptos CE" w:cs="Calibri"/>
                <w:sz w:val="20"/>
                <w:szCs w:val="20"/>
                <w:lang w:eastAsia="pl-PL"/>
              </w:rPr>
              <w:t>Instalacja modułu na środowisku zwirtualizowanym przygotowanym przez zamawiającego</w:t>
            </w:r>
          </w:p>
        </w:tc>
        <w:tc>
          <w:tcPr>
            <w:tcW w:w="1418" w:type="dxa"/>
            <w:vAlign w:val="center"/>
          </w:tcPr>
          <w:p w14:paraId="4AD84379" w14:textId="69D784A5" w:rsidR="00126928" w:rsidRPr="00CC04DF" w:rsidRDefault="00CC04DF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CC04DF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65A151F8" w14:textId="77777777" w:rsidR="00126928" w:rsidRPr="00A438A6" w:rsidRDefault="0012692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79C720E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3E0B5E8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10.</w:t>
            </w:r>
          </w:p>
        </w:tc>
        <w:tc>
          <w:tcPr>
            <w:tcW w:w="5154" w:type="dxa"/>
            <w:vAlign w:val="center"/>
          </w:tcPr>
          <w:p w14:paraId="553646B8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 xml:space="preserve">OPROGRAMOWANIE DO NAGRYWANIA PŁYT CD/DVD DLA </w:t>
            </w: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PACJENTÓW - 3 szt.</w:t>
            </w:r>
          </w:p>
        </w:tc>
        <w:tc>
          <w:tcPr>
            <w:tcW w:w="1418" w:type="dxa"/>
          </w:tcPr>
          <w:p w14:paraId="1E43ED58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</w:tcPr>
          <w:p w14:paraId="2EF4FD0C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F2D48" w:rsidRPr="00A438A6" w14:paraId="26BC509E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7D03B8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10.1.</w:t>
            </w:r>
          </w:p>
        </w:tc>
        <w:tc>
          <w:tcPr>
            <w:tcW w:w="5154" w:type="dxa"/>
            <w:vAlign w:val="center"/>
          </w:tcPr>
          <w:p w14:paraId="2A87BB73" w14:textId="5FF92456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Oprogramowanie współpracujące z posiadanymi przez </w:t>
            </w:r>
            <w:r w:rsidR="006F25C7"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zamawiającego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robotami Epson</w:t>
            </w:r>
          </w:p>
        </w:tc>
        <w:tc>
          <w:tcPr>
            <w:tcW w:w="1418" w:type="dxa"/>
            <w:vAlign w:val="center"/>
          </w:tcPr>
          <w:p w14:paraId="342F00B9" w14:textId="76A605BC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0A3B79C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20EF01C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216D782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10.2.</w:t>
            </w:r>
          </w:p>
        </w:tc>
        <w:tc>
          <w:tcPr>
            <w:tcW w:w="5154" w:type="dxa"/>
            <w:vAlign w:val="center"/>
          </w:tcPr>
          <w:p w14:paraId="7FA6E680" w14:textId="73F3F3FF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Oprogramowanie sterujące pracą robota CD, zapewniające automatyczną produkcję płyty z badaniem inicjowaną bezpośrednio z oprogramowania systemu PACS.</w:t>
            </w:r>
          </w:p>
        </w:tc>
        <w:tc>
          <w:tcPr>
            <w:tcW w:w="1418" w:type="dxa"/>
            <w:vAlign w:val="center"/>
          </w:tcPr>
          <w:p w14:paraId="40E5AC25" w14:textId="1A133C55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7D6C76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4609D3C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81668E9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121E221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290E7D83" w14:textId="77777777" w:rsidR="009F2D48" w:rsidRPr="00A438A6" w:rsidRDefault="009F2D48" w:rsidP="00121E33">
            <w:pPr>
              <w:spacing w:line="240" w:lineRule="auto"/>
              <w:rPr>
                <w:rFonts w:cs="Calibri"/>
                <w:b/>
                <w:bCs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b/>
                <w:bCs/>
                <w:sz w:val="20"/>
                <w:szCs w:val="20"/>
                <w:lang w:eastAsia="pl-PL"/>
              </w:rPr>
              <w:t>IMPLEMENTACJA I SERWIS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2BF1DB1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2" w:type="dxa"/>
          </w:tcPr>
          <w:p w14:paraId="786DD1C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52B40D3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7EC3786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11.1.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2BEEE561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Okres gwarancji i obsługi serwisowej na oferowany sprzęt komputerowy (serwery i macierze) – co najmniej 84 miesiące</w:t>
            </w:r>
          </w:p>
        </w:tc>
        <w:tc>
          <w:tcPr>
            <w:tcW w:w="1418" w:type="dxa"/>
            <w:vAlign w:val="center"/>
          </w:tcPr>
          <w:p w14:paraId="06E28BB0" w14:textId="6EFE401A" w:rsidR="009F2D48" w:rsidRPr="00A438A6" w:rsidRDefault="007D6C76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3C15A36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3D629767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0762A94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11.2.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6F0505B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Okres gwarancji i obsługi serwisowej na pozostały oferowany sprzęt komputerowy (np. stacje diagnostyczne i monitory) – co najmniej 60 miesięcy</w:t>
            </w:r>
          </w:p>
        </w:tc>
        <w:tc>
          <w:tcPr>
            <w:tcW w:w="1418" w:type="dxa"/>
            <w:vAlign w:val="center"/>
          </w:tcPr>
          <w:p w14:paraId="2EB87600" w14:textId="2AEE1145" w:rsidR="009F2D48" w:rsidRPr="00A438A6" w:rsidRDefault="007D6C76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7593AD0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4E744B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0A570F9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11.3.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48FD6D58" w14:textId="70E46808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Okres wsparcia serwisowego na oferowane oprogramowanie – co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najmniej 36 miesięcy</w:t>
            </w:r>
          </w:p>
        </w:tc>
        <w:tc>
          <w:tcPr>
            <w:tcW w:w="1418" w:type="dxa"/>
            <w:vAlign w:val="center"/>
          </w:tcPr>
          <w:p w14:paraId="3D5894DF" w14:textId="0A19463B" w:rsidR="009F2D48" w:rsidRPr="00A438A6" w:rsidRDefault="007D6C76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0A5408E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418FC5B0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744DBEE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lastRenderedPageBreak/>
              <w:t> 11.4.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37B6081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Usługi wsparcia serwisowego (HelpDesk) świadczone w 7 dni w tygodniu w trybie 24x7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5D60160B" w14:textId="2B4A9864" w:rsidR="009F2D48" w:rsidRPr="00A438A6" w:rsidRDefault="00304045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4A3A81B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A2C3A2D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439FDA3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11.5.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66832B5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Możliwość zgłaszania usterek poprzez system ticketowania online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5121E399" w14:textId="67C4F870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T</w:t>
            </w:r>
            <w:r w:rsidR="00304045"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1C253342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777C73AA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6DC0A9F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11.6.</w:t>
            </w:r>
          </w:p>
        </w:tc>
        <w:tc>
          <w:tcPr>
            <w:tcW w:w="5154" w:type="dxa"/>
            <w:vAlign w:val="center"/>
          </w:tcPr>
          <w:p w14:paraId="13452580" w14:textId="0577F86A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W okresie gwarancji min. 1 rocznie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 nieodpłatny przegląd platformy sprzętowej świadczony na miejscu</w:t>
            </w:r>
          </w:p>
        </w:tc>
        <w:tc>
          <w:tcPr>
            <w:tcW w:w="1418" w:type="dxa"/>
            <w:vAlign w:val="center"/>
          </w:tcPr>
          <w:p w14:paraId="5EBC5EF6" w14:textId="0A7BBECD" w:rsidR="009F2D48" w:rsidRPr="00A438A6" w:rsidRDefault="00304045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7B93FDCC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25FDC713" w14:textId="77777777" w:rsidTr="00183676">
        <w:trPr>
          <w:trHeight w:val="315"/>
        </w:trPr>
        <w:tc>
          <w:tcPr>
            <w:tcW w:w="1220" w:type="dxa"/>
            <w:noWrap/>
            <w:vAlign w:val="bottom"/>
          </w:tcPr>
          <w:p w14:paraId="7C6E4AFF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11.7.</w:t>
            </w:r>
          </w:p>
        </w:tc>
        <w:tc>
          <w:tcPr>
            <w:tcW w:w="5154" w:type="dxa"/>
            <w:vAlign w:val="center"/>
          </w:tcPr>
          <w:p w14:paraId="2E401DC9" w14:textId="6681B793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W okresie gwarancji min. 4 rocznie proaktywne monitoring oprogramowania i platformy sprzętowej</w:t>
            </w:r>
          </w:p>
        </w:tc>
        <w:tc>
          <w:tcPr>
            <w:tcW w:w="1418" w:type="dxa"/>
            <w:vAlign w:val="center"/>
          </w:tcPr>
          <w:p w14:paraId="6CC37950" w14:textId="48537758" w:rsidR="009F2D48" w:rsidRPr="00A438A6" w:rsidRDefault="00304045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2211F557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5811B738" w14:textId="77777777" w:rsidTr="00183676">
        <w:trPr>
          <w:trHeight w:val="1890"/>
        </w:trPr>
        <w:tc>
          <w:tcPr>
            <w:tcW w:w="1220" w:type="dxa"/>
            <w:noWrap/>
            <w:vAlign w:val="bottom"/>
          </w:tcPr>
          <w:p w14:paraId="13CAEDC9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11.8.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6B10EF3D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>Czas reakcji na podjęcie czynności serwisowych (rozumiane jako kontakt telefoniczny lub rozpoczęcie interwencji zdalnej):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dla awarii krytycznych (rozumianych jako dysfunkcje systemu uniemożliwiające prowadzenie podstawowej działalności przez użytkowników) - 2 godziny</w:t>
            </w: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br/>
              <w:t>- dla awarii (rozumianych jako dysfunkcje ograniczające prowadzenie podstawowej działalności przez użytkowników) - 8 godzin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03B6F259" w14:textId="45163FA3" w:rsidR="009F2D48" w:rsidRPr="00A438A6" w:rsidRDefault="00304045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1C7BE520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9F2D48" w:rsidRPr="00A438A6" w14:paraId="0CADE957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3AAEBAD5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cs="Calibri"/>
                <w:sz w:val="20"/>
                <w:szCs w:val="20"/>
                <w:lang w:eastAsia="pl-PL"/>
              </w:rPr>
              <w:t> 11.9.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5C424EE6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A438A6">
              <w:rPr>
                <w:rFonts w:ascii="Aptos CE" w:hAnsi="Aptos CE" w:cs="Calibri"/>
                <w:sz w:val="20"/>
                <w:szCs w:val="20"/>
                <w:lang w:eastAsia="pl-PL"/>
              </w:rPr>
              <w:t xml:space="preserve">Szkolenia użytkowników systemu prowadzone przez wykwalifikowanych i certyfikowanych przedstawicieli producenta systemu PACS w wymiarze min. 5 osobodni </w:t>
            </w:r>
          </w:p>
        </w:tc>
        <w:tc>
          <w:tcPr>
            <w:tcW w:w="1418" w:type="dxa"/>
            <w:vAlign w:val="center"/>
          </w:tcPr>
          <w:p w14:paraId="76D9BF5E" w14:textId="019433CC" w:rsidR="009F2D48" w:rsidRPr="00A438A6" w:rsidRDefault="00304045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>
              <w:rPr>
                <w:rFonts w:ascii="Aptos CE" w:hAnsi="Aptos CE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42" w:type="dxa"/>
          </w:tcPr>
          <w:p w14:paraId="1A8F75FB" w14:textId="77777777" w:rsidR="009F2D48" w:rsidRPr="00A438A6" w:rsidRDefault="009F2D48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  <w:tr w:rsidR="00D66D7E" w:rsidRPr="00A438A6" w14:paraId="2E67917D" w14:textId="77777777" w:rsidTr="00183676">
        <w:trPr>
          <w:trHeight w:val="630"/>
        </w:trPr>
        <w:tc>
          <w:tcPr>
            <w:tcW w:w="1220" w:type="dxa"/>
            <w:noWrap/>
            <w:vAlign w:val="bottom"/>
          </w:tcPr>
          <w:p w14:paraId="0FAD1CB7" w14:textId="50E721EF" w:rsidR="00D66D7E" w:rsidRPr="00D66D7E" w:rsidRDefault="00D66D7E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  <w:r w:rsidRPr="00D66D7E">
              <w:rPr>
                <w:rFonts w:cs="Calibri"/>
                <w:sz w:val="20"/>
                <w:szCs w:val="20"/>
                <w:lang w:eastAsia="pl-PL"/>
              </w:rPr>
              <w:t>11.10.</w:t>
            </w:r>
          </w:p>
        </w:tc>
        <w:tc>
          <w:tcPr>
            <w:tcW w:w="5154" w:type="dxa"/>
            <w:shd w:val="clear" w:color="000000" w:fill="FFFFFF"/>
            <w:vAlign w:val="center"/>
          </w:tcPr>
          <w:p w14:paraId="7F335E89" w14:textId="147F726D" w:rsidR="00D66D7E" w:rsidRPr="00D66D7E" w:rsidRDefault="00D66D7E" w:rsidP="00121E33">
            <w:pPr>
              <w:spacing w:line="240" w:lineRule="auto"/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</w:pPr>
            <w:r w:rsidRPr="00D66D7E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>W okresie do 14 dni od złożenia oferty Zamawiający ma prawo wezwać oferenta do prezentacji wszystkich lub wybranych z powyższych funkcjonalności systemu.</w:t>
            </w:r>
            <w:r w:rsidRPr="00D66D7E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br/>
              <w:t>Nies</w:t>
            </w:r>
            <w:r w:rsidR="00F60623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>p</w:t>
            </w:r>
            <w:r w:rsidRPr="00D66D7E">
              <w:rPr>
                <w:rFonts w:ascii="Aptos CE" w:hAnsi="Aptos CE" w:cs="Calibri"/>
                <w:b/>
                <w:bCs/>
                <w:sz w:val="20"/>
                <w:szCs w:val="20"/>
                <w:lang w:eastAsia="pl-PL"/>
              </w:rPr>
              <w:t>ełnienie niniejszego wymogu (niestawienie się oferenta w wyznaczonym terminie lub niemożność zaprezentowania którejkolwiek z funkcjonalności systemu) spowoduje odrzucenie oferty.</w:t>
            </w:r>
          </w:p>
        </w:tc>
        <w:tc>
          <w:tcPr>
            <w:tcW w:w="1418" w:type="dxa"/>
            <w:vAlign w:val="center"/>
          </w:tcPr>
          <w:p w14:paraId="70BEA79A" w14:textId="1C69ADA8" w:rsidR="00D66D7E" w:rsidRPr="00331FE4" w:rsidRDefault="00304045" w:rsidP="00121E33">
            <w:pPr>
              <w:spacing w:line="240" w:lineRule="auto"/>
              <w:rPr>
                <w:rFonts w:ascii="Aptos CE" w:hAnsi="Aptos CE" w:cs="Calibri"/>
                <w:sz w:val="20"/>
                <w:szCs w:val="20"/>
                <w:lang w:eastAsia="pl-PL"/>
              </w:rPr>
            </w:pPr>
            <w:r w:rsidRPr="00331FE4">
              <w:rPr>
                <w:rFonts w:ascii="Aptos CE" w:hAnsi="Aptos CE" w:cs="Calibri"/>
                <w:sz w:val="20"/>
                <w:szCs w:val="20"/>
                <w:lang w:eastAsia="pl-PL"/>
              </w:rPr>
              <w:t>T</w:t>
            </w:r>
            <w:r>
              <w:rPr>
                <w:rFonts w:cs="Calibri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1842" w:type="dxa"/>
          </w:tcPr>
          <w:p w14:paraId="5D30A645" w14:textId="77777777" w:rsidR="00D66D7E" w:rsidRPr="00A438A6" w:rsidRDefault="00D66D7E" w:rsidP="00121E33">
            <w:pPr>
              <w:spacing w:line="240" w:lineRule="auto"/>
              <w:rPr>
                <w:rFonts w:cs="Calibri"/>
                <w:sz w:val="20"/>
                <w:szCs w:val="20"/>
                <w:lang w:eastAsia="pl-PL"/>
              </w:rPr>
            </w:pPr>
          </w:p>
        </w:tc>
      </w:tr>
    </w:tbl>
    <w:p w14:paraId="010BA2F8" w14:textId="77777777" w:rsidR="0032154C" w:rsidRDefault="0032154C" w:rsidP="0032154C">
      <w:pPr>
        <w:keepNext/>
        <w:widowControl w:val="0"/>
        <w:autoSpaceDN w:val="0"/>
        <w:spacing w:before="100" w:after="100" w:line="240" w:lineRule="auto"/>
        <w:textAlignment w:val="baseline"/>
        <w:outlineLvl w:val="2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2"/>
          <w:szCs w:val="22"/>
          <w:lang w:val="de-DE" w:bidi="fa-IR"/>
        </w:rPr>
        <w:t>W Załączniku w kolumnie „WYMAGANY”:</w:t>
      </w:r>
    </w:p>
    <w:p w14:paraId="3677A6C9" w14:textId="77777777" w:rsidR="0032154C" w:rsidRDefault="0032154C" w:rsidP="0032154C">
      <w:pPr>
        <w:widowControl w:val="0"/>
        <w:autoSpaceDN w:val="0"/>
        <w:spacing w:before="10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2"/>
          <w:szCs w:val="22"/>
          <w:lang w:val="de-DE" w:bidi="fa-IR"/>
        </w:rPr>
        <w:t>TAK (lub podana wartość) - oznacza bezwzględny wymóg. Brak żądanej opcji lub niewypełnienie pola odpowiedzi spowoduje odrzucenie oferty.</w:t>
      </w:r>
    </w:p>
    <w:p w14:paraId="27464AAF" w14:textId="77777777" w:rsidR="0032154C" w:rsidRDefault="0032154C" w:rsidP="0032154C">
      <w:pPr>
        <w:widowControl w:val="0"/>
        <w:autoSpaceDN w:val="0"/>
        <w:spacing w:before="10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2"/>
          <w:szCs w:val="22"/>
          <w:lang w:val="de-DE" w:bidi="fa-IR"/>
        </w:rPr>
        <w:t>Zamawiający zastrzega sobie prawo sprawdzenia wiarygodności podanych przez Wykonawcę parametrów technicznych we wszystkich dostępnych źródłach (w tym u producenta).</w:t>
      </w:r>
    </w:p>
    <w:p w14:paraId="4EABDC76" w14:textId="77777777" w:rsidR="0032154C" w:rsidRDefault="0032154C" w:rsidP="0032154C">
      <w:pPr>
        <w:widowControl w:val="0"/>
        <w:autoSpaceDN w:val="0"/>
        <w:spacing w:before="100" w:line="240" w:lineRule="auto"/>
        <w:ind w:right="-709"/>
        <w:textAlignment w:val="baseline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b/>
          <w:bCs/>
          <w:kern w:val="3"/>
          <w:sz w:val="22"/>
          <w:szCs w:val="22"/>
          <w:lang w:val="de-DE" w:bidi="fa-IR"/>
        </w:rPr>
        <w:t xml:space="preserve">Treść oświadczenia wykonawcy: </w:t>
      </w:r>
    </w:p>
    <w:p w14:paraId="3235803F" w14:textId="77777777" w:rsidR="0032154C" w:rsidRDefault="0032154C" w:rsidP="0032154C">
      <w:pPr>
        <w:widowControl w:val="0"/>
        <w:numPr>
          <w:ilvl w:val="0"/>
          <w:numId w:val="4"/>
        </w:numPr>
        <w:suppressAutoHyphens/>
        <w:autoSpaceDN w:val="0"/>
        <w:spacing w:before="100" w:after="0" w:line="240" w:lineRule="auto"/>
        <w:ind w:right="119"/>
        <w:textAlignment w:val="baseline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2"/>
          <w:szCs w:val="22"/>
          <w:lang w:val="de-DE" w:bidi="fa-IR"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4985C182" w14:textId="77777777" w:rsidR="0032154C" w:rsidRDefault="0032154C" w:rsidP="0032154C">
      <w:pPr>
        <w:widowControl w:val="0"/>
        <w:numPr>
          <w:ilvl w:val="0"/>
          <w:numId w:val="4"/>
        </w:numPr>
        <w:suppressAutoHyphens/>
        <w:autoSpaceDN w:val="0"/>
        <w:spacing w:before="100" w:after="0" w:line="240" w:lineRule="auto"/>
        <w:ind w:right="119"/>
        <w:textAlignment w:val="baseline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2"/>
          <w:szCs w:val="22"/>
          <w:lang w:val="de-DE" w:bidi="fa-IR"/>
        </w:rPr>
        <w:t>Oświadczamy, że oferowany, powyżej wyspecyfikowany sprzęt jest kompletny i po jego przekazaniu protokółem odbioru będzie gotowy do eksploatacji, bez żadnych dodatkowych zakupów i inwestycji (poza typowymi, znormalizowanymi materiałami eksploatacyjnymi )</w:t>
      </w:r>
    </w:p>
    <w:p w14:paraId="2B5D8327" w14:textId="77777777" w:rsidR="0032154C" w:rsidRDefault="0032154C" w:rsidP="0032154C">
      <w:pPr>
        <w:widowControl w:val="0"/>
        <w:autoSpaceDN w:val="0"/>
        <w:spacing w:before="100" w:line="240" w:lineRule="auto"/>
        <w:textAlignment w:val="baseline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2"/>
          <w:szCs w:val="22"/>
          <w:lang w:val="de-DE" w:bidi="fa-IR"/>
        </w:rPr>
        <w:t>.......................................................................................</w:t>
      </w:r>
    </w:p>
    <w:p w14:paraId="3D7D2A5D" w14:textId="77777777" w:rsidR="0032154C" w:rsidRDefault="0032154C" w:rsidP="0032154C">
      <w:pPr>
        <w:widowControl w:val="0"/>
        <w:autoSpaceDN w:val="0"/>
        <w:spacing w:before="100" w:line="240" w:lineRule="auto"/>
        <w:textAlignment w:val="baseline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2"/>
          <w:szCs w:val="22"/>
          <w:lang w:val="de-DE" w:bidi="fa-IR"/>
        </w:rPr>
        <w:t>data, podpis i pieczęć osoby/osób upoważnionej/ych</w:t>
      </w:r>
    </w:p>
    <w:p w14:paraId="05CEF84C" w14:textId="77777777" w:rsidR="0032154C" w:rsidRDefault="0032154C" w:rsidP="0032154C">
      <w:pPr>
        <w:widowControl w:val="0"/>
        <w:autoSpaceDN w:val="0"/>
        <w:spacing w:before="100" w:line="240" w:lineRule="auto"/>
        <w:ind w:left="284"/>
        <w:textAlignment w:val="baseline"/>
        <w:rPr>
          <w:rFonts w:ascii="Times New Roman" w:eastAsia="Andale Sans UI" w:hAnsi="Times New Roman"/>
          <w:kern w:val="3"/>
          <w:sz w:val="22"/>
          <w:szCs w:val="22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2"/>
          <w:szCs w:val="22"/>
          <w:lang w:val="de-DE" w:bidi="fa-IR"/>
        </w:rPr>
        <w:t>do reprezentowania Wykonawcy</w:t>
      </w:r>
    </w:p>
    <w:p w14:paraId="299002B6" w14:textId="77777777" w:rsidR="009F2D48" w:rsidRPr="002901C0" w:rsidRDefault="009F2D48" w:rsidP="00121E33">
      <w:pPr>
        <w:pStyle w:val="NormalnyWeb"/>
        <w:rPr>
          <w:rFonts w:ascii="Aptos" w:hAnsi="Aptos"/>
          <w:sz w:val="20"/>
          <w:szCs w:val="20"/>
        </w:rPr>
      </w:pPr>
    </w:p>
    <w:p w14:paraId="14C4BAB7" w14:textId="77777777" w:rsidR="009F2D48" w:rsidRDefault="009F2D48" w:rsidP="00121E33"/>
    <w:sectPr w:rsidR="009F2D48" w:rsidSect="00D522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DE54C" w14:textId="77777777" w:rsidR="00CA6FD9" w:rsidRDefault="00CA6FD9" w:rsidP="0025409E">
      <w:pPr>
        <w:spacing w:after="0" w:line="240" w:lineRule="auto"/>
      </w:pPr>
      <w:r>
        <w:separator/>
      </w:r>
    </w:p>
  </w:endnote>
  <w:endnote w:type="continuationSeparator" w:id="0">
    <w:p w14:paraId="588A8A5C" w14:textId="77777777" w:rsidR="00CA6FD9" w:rsidRDefault="00CA6FD9" w:rsidP="0025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CE">
    <w:altName w:val="Calibri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4CC37" w14:textId="77777777" w:rsidR="00CA6FD9" w:rsidRDefault="00CA6FD9" w:rsidP="0025409E">
      <w:pPr>
        <w:spacing w:after="0" w:line="240" w:lineRule="auto"/>
      </w:pPr>
      <w:r>
        <w:separator/>
      </w:r>
    </w:p>
  </w:footnote>
  <w:footnote w:type="continuationSeparator" w:id="0">
    <w:p w14:paraId="4F5F3FC7" w14:textId="77777777" w:rsidR="00CA6FD9" w:rsidRDefault="00CA6FD9" w:rsidP="00254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3819" w14:textId="2F682F2A" w:rsidR="0025409E" w:rsidRDefault="0025409E">
    <w:pPr>
      <w:pStyle w:val="Nagwek"/>
    </w:pPr>
    <w:r>
      <w:t xml:space="preserve">         </w:t>
    </w:r>
    <w:r w:rsidR="00381399">
      <w:rPr>
        <w:rFonts w:ascii="Times New Roman" w:eastAsia="MS Mincho" w:hAnsi="Times New Roman"/>
        <w:noProof/>
        <w:sz w:val="20"/>
        <w:szCs w:val="20"/>
      </w:rPr>
      <w:pict w14:anchorId="114F3B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453.75pt;height:45pt;visibility:visible;mso-wrap-style:square;mso-width-percent:0;mso-height-percent:0;mso-width-percent:0;mso-height-percent:0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10C27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000000"/>
        <w:sz w:val="18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000000"/>
        <w:sz w:val="20"/>
      </w:rPr>
    </w:lvl>
  </w:abstractNum>
  <w:abstractNum w:abstractNumId="4" w15:restartNumberingAfterBreak="0">
    <w:nsid w:val="39367A0D"/>
    <w:multiLevelType w:val="multilevel"/>
    <w:tmpl w:val="21BC8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820386693">
    <w:abstractNumId w:val="0"/>
  </w:num>
  <w:num w:numId="2" w16cid:durableId="1644388532">
    <w:abstractNumId w:val="0"/>
  </w:num>
  <w:num w:numId="3" w16cid:durableId="1968467524">
    <w:abstractNumId w:val="0"/>
  </w:num>
  <w:num w:numId="4" w16cid:durableId="6971939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1E33"/>
    <w:rsid w:val="00013EA1"/>
    <w:rsid w:val="00061E72"/>
    <w:rsid w:val="000C74BA"/>
    <w:rsid w:val="000F08DA"/>
    <w:rsid w:val="00121E33"/>
    <w:rsid w:val="00126928"/>
    <w:rsid w:val="00160919"/>
    <w:rsid w:val="00183676"/>
    <w:rsid w:val="002051D4"/>
    <w:rsid w:val="002268C3"/>
    <w:rsid w:val="0025409E"/>
    <w:rsid w:val="00264C55"/>
    <w:rsid w:val="002901C0"/>
    <w:rsid w:val="00304045"/>
    <w:rsid w:val="0032154C"/>
    <w:rsid w:val="00322949"/>
    <w:rsid w:val="00331FE4"/>
    <w:rsid w:val="00377A64"/>
    <w:rsid w:val="00381399"/>
    <w:rsid w:val="0042449A"/>
    <w:rsid w:val="00430975"/>
    <w:rsid w:val="004F4524"/>
    <w:rsid w:val="0068685C"/>
    <w:rsid w:val="006A5303"/>
    <w:rsid w:val="006C2099"/>
    <w:rsid w:val="006C735C"/>
    <w:rsid w:val="006F25C7"/>
    <w:rsid w:val="007D6C76"/>
    <w:rsid w:val="008A291B"/>
    <w:rsid w:val="008F156D"/>
    <w:rsid w:val="0090357B"/>
    <w:rsid w:val="009F2D48"/>
    <w:rsid w:val="00A438A6"/>
    <w:rsid w:val="00A927EA"/>
    <w:rsid w:val="00B0187D"/>
    <w:rsid w:val="00B04222"/>
    <w:rsid w:val="00B05AC7"/>
    <w:rsid w:val="00C84BAD"/>
    <w:rsid w:val="00CA6FD9"/>
    <w:rsid w:val="00CC04DF"/>
    <w:rsid w:val="00CD5345"/>
    <w:rsid w:val="00CF26BD"/>
    <w:rsid w:val="00D522C3"/>
    <w:rsid w:val="00D66D7E"/>
    <w:rsid w:val="00D76A36"/>
    <w:rsid w:val="00DA265D"/>
    <w:rsid w:val="00E16376"/>
    <w:rsid w:val="00EA5E92"/>
    <w:rsid w:val="00ED15DB"/>
    <w:rsid w:val="00EE4F93"/>
    <w:rsid w:val="00F056F2"/>
    <w:rsid w:val="00F41948"/>
    <w:rsid w:val="00F466CE"/>
    <w:rsid w:val="00F6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DD01D9"/>
  <w15:docId w15:val="{9BEC2E04-1AF9-488A-A3CB-ADD230CD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E33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21E33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21E33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21E33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21E33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21E33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21E33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21E33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21E33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21E33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21E33"/>
    <w:rPr>
      <w:rFonts w:ascii="Aptos Display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9"/>
    <w:semiHidden/>
    <w:locked/>
    <w:rsid w:val="00121E33"/>
    <w:rPr>
      <w:rFonts w:ascii="Aptos Display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121E33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121E33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9"/>
    <w:semiHidden/>
    <w:locked/>
    <w:rsid w:val="00121E33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9"/>
    <w:semiHidden/>
    <w:locked/>
    <w:rsid w:val="00121E33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9"/>
    <w:semiHidden/>
    <w:locked/>
    <w:rsid w:val="00121E33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locked/>
    <w:rsid w:val="00121E33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9"/>
    <w:semiHidden/>
    <w:locked/>
    <w:rsid w:val="00121E33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121E33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121E33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121E33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99"/>
    <w:locked/>
    <w:rsid w:val="00121E33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121E33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121E33"/>
    <w:rPr>
      <w:rFonts w:cs="Times New Roman"/>
      <w:i/>
      <w:iCs/>
      <w:color w:val="404040"/>
    </w:rPr>
  </w:style>
  <w:style w:type="paragraph" w:styleId="Akapitzlist">
    <w:name w:val="List Paragraph"/>
    <w:aliases w:val="Numerowanie,L1,Akapit z listą BS,Bulleted list,Odstavec,Podsis rysunku,Akapit z listą5,T_SZ_List Paragraph,sw tekst,CW_Lista,Akapit z listą numerowaną,lp1,Bullet List,FooterText,numbered,Paragraphe de liste1,列出段落,列出段落1"/>
    <w:basedOn w:val="Normalny"/>
    <w:link w:val="AkapitzlistZnak"/>
    <w:uiPriority w:val="99"/>
    <w:qFormat/>
    <w:rsid w:val="00121E33"/>
    <w:pPr>
      <w:ind w:left="720"/>
      <w:contextualSpacing/>
    </w:pPr>
  </w:style>
  <w:style w:type="character" w:styleId="Wyrnienieintensywne">
    <w:name w:val="Intense Emphasis"/>
    <w:uiPriority w:val="99"/>
    <w:qFormat/>
    <w:rsid w:val="00121E33"/>
    <w:rPr>
      <w:rFonts w:cs="Times New Roman"/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121E3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99"/>
    <w:locked/>
    <w:rsid w:val="00121E33"/>
    <w:rPr>
      <w:rFonts w:cs="Times New Roman"/>
      <w:i/>
      <w:iCs/>
      <w:color w:val="0F4761"/>
    </w:rPr>
  </w:style>
  <w:style w:type="character" w:styleId="Odwoanieintensywne">
    <w:name w:val="Intense Reference"/>
    <w:uiPriority w:val="99"/>
    <w:qFormat/>
    <w:rsid w:val="00121E33"/>
    <w:rPr>
      <w:rFonts w:cs="Times New Roman"/>
      <w:b/>
      <w:bCs/>
      <w:smallCaps/>
      <w:color w:val="0F4761"/>
      <w:spacing w:val="5"/>
    </w:rPr>
  </w:style>
  <w:style w:type="character" w:styleId="Pogrubienie">
    <w:name w:val="Strong"/>
    <w:uiPriority w:val="99"/>
    <w:qFormat/>
    <w:rsid w:val="00121E33"/>
    <w:rPr>
      <w:rFonts w:cs="Times New Roman"/>
      <w:b/>
      <w:bCs/>
    </w:rPr>
  </w:style>
  <w:style w:type="paragraph" w:styleId="NormalnyWeb">
    <w:name w:val="Normal (Web)"/>
    <w:basedOn w:val="Normalny"/>
    <w:uiPriority w:val="99"/>
    <w:semiHidden/>
    <w:rsid w:val="00121E33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lang w:eastAsia="pl-PL"/>
    </w:rPr>
  </w:style>
  <w:style w:type="character" w:customStyle="1" w:styleId="apple-converted-space">
    <w:name w:val="apple-converted-space"/>
    <w:uiPriority w:val="99"/>
    <w:rsid w:val="00121E33"/>
    <w:rPr>
      <w:rFonts w:cs="Times New Roman"/>
    </w:rPr>
  </w:style>
  <w:style w:type="paragraph" w:customStyle="1" w:styleId="Tabelapozycja">
    <w:name w:val="Tabela pozycja"/>
    <w:basedOn w:val="Normalny"/>
    <w:uiPriority w:val="99"/>
    <w:rsid w:val="00121E33"/>
    <w:pPr>
      <w:spacing w:after="0" w:line="240" w:lineRule="auto"/>
    </w:pPr>
    <w:rPr>
      <w:rFonts w:ascii="Arial" w:hAnsi="Arial"/>
      <w:kern w:val="0"/>
      <w:sz w:val="22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121E33"/>
    <w:pPr>
      <w:spacing w:before="240" w:after="0" w:line="259" w:lineRule="auto"/>
      <w:outlineLvl w:val="9"/>
    </w:pPr>
    <w:rPr>
      <w:kern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121E33"/>
    <w:pPr>
      <w:spacing w:after="100" w:line="276" w:lineRule="auto"/>
    </w:pPr>
  </w:style>
  <w:style w:type="character" w:styleId="Hipercze">
    <w:name w:val="Hyperlink"/>
    <w:uiPriority w:val="99"/>
    <w:rsid w:val="00121E33"/>
    <w:rPr>
      <w:rFonts w:cs="Times New Roman"/>
      <w:color w:val="467886"/>
      <w:u w:val="single"/>
    </w:rPr>
  </w:style>
  <w:style w:type="character" w:styleId="Odwoaniedokomentarza">
    <w:name w:val="annotation reference"/>
    <w:uiPriority w:val="99"/>
    <w:semiHidden/>
    <w:rsid w:val="00121E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21E33"/>
    <w:pPr>
      <w:spacing w:after="120"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21E33"/>
    <w:rPr>
      <w:rFonts w:cs="Times New Roman"/>
      <w:sz w:val="20"/>
      <w:szCs w:val="20"/>
    </w:rPr>
  </w:style>
  <w:style w:type="character" w:customStyle="1" w:styleId="AkapitzlistZnak">
    <w:name w:val="Akapit z listą Znak"/>
    <w:aliases w:val="Numerowanie Znak,L1 Znak,Akapit z listą BS Znak,Bulleted list Znak,Odstavec Znak,Podsis rysunku Znak,Akapit z listą5 Znak,T_SZ_List Paragraph Znak,sw tekst Znak,CW_Lista Znak,Akapit z listą numerowaną Znak,lp1 Znak,Bullet List Znak"/>
    <w:link w:val="Akapitzlist"/>
    <w:uiPriority w:val="99"/>
    <w:locked/>
    <w:rsid w:val="00121E33"/>
  </w:style>
  <w:style w:type="paragraph" w:styleId="Bezodstpw">
    <w:name w:val="No Spacing"/>
    <w:uiPriority w:val="99"/>
    <w:qFormat/>
    <w:rsid w:val="00121E33"/>
    <w:rPr>
      <w:kern w:val="2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21E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121E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rsid w:val="00121E33"/>
    <w:pPr>
      <w:spacing w:after="0" w:line="240" w:lineRule="auto"/>
    </w:pPr>
    <w:rPr>
      <w:rFonts w:ascii="Calibri" w:eastAsia="SimSun" w:hAnsi="Calibri"/>
      <w:kern w:val="0"/>
      <w:sz w:val="22"/>
      <w:szCs w:val="21"/>
    </w:rPr>
  </w:style>
  <w:style w:type="character" w:customStyle="1" w:styleId="ZwykytekstZnak">
    <w:name w:val="Zwykły tekst Znak"/>
    <w:link w:val="Zwykytekst"/>
    <w:uiPriority w:val="99"/>
    <w:locked/>
    <w:rsid w:val="00121E33"/>
    <w:rPr>
      <w:rFonts w:ascii="Calibri" w:eastAsia="SimSun" w:hAnsi="Calibri" w:cs="Times New Roman"/>
      <w:kern w:val="0"/>
      <w:sz w:val="21"/>
      <w:szCs w:val="21"/>
    </w:rPr>
  </w:style>
  <w:style w:type="character" w:customStyle="1" w:styleId="normaltextrun">
    <w:name w:val="normaltextrun"/>
    <w:uiPriority w:val="99"/>
    <w:rsid w:val="00121E33"/>
    <w:rPr>
      <w:rFonts w:cs="Times New Roman"/>
    </w:rPr>
  </w:style>
  <w:style w:type="character" w:customStyle="1" w:styleId="eop">
    <w:name w:val="eop"/>
    <w:uiPriority w:val="99"/>
    <w:rsid w:val="00121E33"/>
    <w:rPr>
      <w:rFonts w:cs="Times New Roman"/>
    </w:rPr>
  </w:style>
  <w:style w:type="paragraph" w:styleId="Listapunktowana">
    <w:name w:val="List Bullet"/>
    <w:basedOn w:val="Normalny"/>
    <w:uiPriority w:val="99"/>
    <w:semiHidden/>
    <w:rsid w:val="00121E33"/>
    <w:pPr>
      <w:numPr>
        <w:numId w:val="2"/>
      </w:numPr>
      <w:tabs>
        <w:tab w:val="clear" w:pos="360"/>
      </w:tabs>
      <w:spacing w:after="200" w:line="276" w:lineRule="auto"/>
      <w:ind w:left="0" w:firstLine="0"/>
      <w:contextualSpacing/>
    </w:pPr>
    <w:rPr>
      <w:rFonts w:cs="Aptos"/>
      <w:kern w:val="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54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5409E"/>
    <w:rPr>
      <w:kern w:val="2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540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5409E"/>
    <w:rPr>
      <w:kern w:val="2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B04222"/>
    <w:rPr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19</Pages>
  <Words>5236</Words>
  <Characters>31420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Michalak</dc:creator>
  <cp:keywords/>
  <dc:description/>
  <cp:lastModifiedBy>Szpital Ino</cp:lastModifiedBy>
  <cp:revision>30</cp:revision>
  <dcterms:created xsi:type="dcterms:W3CDTF">2026-01-15T06:57:00Z</dcterms:created>
  <dcterms:modified xsi:type="dcterms:W3CDTF">2026-04-21T07:40:00Z</dcterms:modified>
</cp:coreProperties>
</file>